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962" w:rsidRPr="00460028" w:rsidRDefault="00612061" w:rsidP="00857962">
      <w:pPr>
        <w:pStyle w:val="Title"/>
      </w:pPr>
      <w:r>
        <w:rPr>
          <w:noProof/>
          <w:lang w:eastAsia="en-GB"/>
        </w:rPr>
        <w:pict>
          <v:shapetype id="_x0000_t202" coordsize="21600,21600" o:spt="202" path="m,l,21600r21600,l21600,xe">
            <v:stroke joinstyle="miter"/>
            <v:path gradientshapeok="t" o:connecttype="rect"/>
          </v:shapetype>
          <v:shape id="_x0000_s1146" type="#_x0000_t202" style="position:absolute;left:0;text-align:left;margin-left:84pt;margin-top:481.25pt;width:349.1pt;height:58.75pt;z-index:2" stroked="f">
            <v:textbox>
              <w:txbxContent>
                <w:p w:rsidR="0089774B" w:rsidRPr="0089774B" w:rsidRDefault="0089774B">
                  <w:pPr>
                    <w:rPr>
                      <w:color w:val="CC00CC"/>
                      <w:sz w:val="40"/>
                      <w:szCs w:val="40"/>
                    </w:rPr>
                  </w:pPr>
                  <w:r w:rsidRPr="0089774B">
                    <w:rPr>
                      <w:color w:val="CC00CC"/>
                      <w:sz w:val="40"/>
                      <w:szCs w:val="40"/>
                    </w:rPr>
                    <w:t>This document has been reformatted to comp</w:t>
                  </w:r>
                  <w:r>
                    <w:rPr>
                      <w:color w:val="CC00CC"/>
                      <w:sz w:val="40"/>
                      <w:szCs w:val="40"/>
                    </w:rPr>
                    <w:t>ly with the IAL</w:t>
                  </w:r>
                  <w:r w:rsidRPr="0089774B">
                    <w:rPr>
                      <w:color w:val="CC00CC"/>
                      <w:sz w:val="40"/>
                      <w:szCs w:val="40"/>
                    </w:rPr>
                    <w:t>A template</w:t>
                  </w:r>
                </w:p>
              </w:txbxContent>
            </v:textbox>
          </v:shape>
        </w:pict>
      </w:r>
      <w:r w:rsidRPr="00612061">
        <w:rPr>
          <w:noProof/>
          <w:lang w:val="en-US" w:eastAsia="ja-JP"/>
        </w:rPr>
        <w:pict>
          <v:group id="_x0000_s1143" style="position:absolute;left:0;text-align:left;margin-left:0;margin-top:3.6pt;width:428.6pt;height:692.2pt;z-index:1" coordorigin="1800,1330" coordsize="8572,13844">
            <v:shape id="_x0000_s1135" type="#_x0000_t202" style="position:absolute;left:3480;top:2040;width:5760;height:5837" o:regroupid="2" filled="f" fillcolor="#0c9" stroked="f">
              <v:textbox>
                <w:txbxContent>
                  <w:p w:rsidR="0044047B" w:rsidRDefault="00460028" w:rsidP="00460028">
                    <w:pPr>
                      <w:autoSpaceDE w:val="0"/>
                      <w:autoSpaceDN w:val="0"/>
                      <w:adjustRightInd w:val="0"/>
                      <w:jc w:val="center"/>
                      <w:rPr>
                        <w:rFonts w:cs="Arial"/>
                        <w:b/>
                        <w:bCs/>
                        <w:color w:val="000000"/>
                        <w:sz w:val="36"/>
                        <w:szCs w:val="36"/>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w:t>
                    </w:r>
                    <w:r w:rsidR="0044047B">
                      <w:rPr>
                        <w:rFonts w:cs="Arial"/>
                        <w:b/>
                        <w:bCs/>
                        <w:color w:val="000000"/>
                        <w:sz w:val="36"/>
                        <w:szCs w:val="36"/>
                      </w:rPr>
                      <w:t>Recommendation</w:t>
                    </w:r>
                  </w:p>
                  <w:p w:rsidR="00460028" w:rsidRPr="0014493F" w:rsidRDefault="0014493F" w:rsidP="00460028">
                    <w:pPr>
                      <w:autoSpaceDE w:val="0"/>
                      <w:autoSpaceDN w:val="0"/>
                      <w:adjustRightInd w:val="0"/>
                      <w:jc w:val="center"/>
                      <w:rPr>
                        <w:rFonts w:cs="Arial"/>
                        <w:b/>
                        <w:bCs/>
                        <w:color w:val="000000"/>
                        <w:sz w:val="36"/>
                        <w:szCs w:val="36"/>
                      </w:rPr>
                    </w:pPr>
                    <w:r w:rsidRPr="0014493F">
                      <w:rPr>
                        <w:rFonts w:cs="Arial"/>
                        <w:b/>
                        <w:bCs/>
                        <w:color w:val="000000"/>
                        <w:sz w:val="36"/>
                        <w:szCs w:val="36"/>
                      </w:rPr>
                      <w:t>E-108</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14493F" w:rsidRDefault="00460028" w:rsidP="00460028">
                    <w:pPr>
                      <w:autoSpaceDE w:val="0"/>
                      <w:autoSpaceDN w:val="0"/>
                      <w:adjustRightInd w:val="0"/>
                      <w:jc w:val="center"/>
                      <w:rPr>
                        <w:rFonts w:cs="Arial"/>
                        <w:b/>
                        <w:bCs/>
                        <w:color w:val="000000"/>
                        <w:sz w:val="36"/>
                        <w:szCs w:val="36"/>
                      </w:rPr>
                    </w:pPr>
                    <w:r w:rsidRPr="0014493F">
                      <w:rPr>
                        <w:rFonts w:cs="Arial"/>
                        <w:b/>
                        <w:bCs/>
                        <w:color w:val="000000"/>
                        <w:sz w:val="36"/>
                        <w:szCs w:val="36"/>
                      </w:rPr>
                      <w:t>On</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14493F"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The Surface C</w:t>
                    </w:r>
                    <w:r w:rsidRPr="0014493F">
                      <w:rPr>
                        <w:rFonts w:cs="Arial"/>
                        <w:b/>
                        <w:bCs/>
                        <w:color w:val="000000"/>
                        <w:sz w:val="36"/>
                        <w:szCs w:val="36"/>
                      </w:rPr>
                      <w:t>olours used as Visual Signals on Aids to Navigation</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460028" w:rsidP="00460028">
                    <w:pPr>
                      <w:autoSpaceDE w:val="0"/>
                      <w:autoSpaceDN w:val="0"/>
                      <w:adjustRightInd w:val="0"/>
                      <w:jc w:val="center"/>
                      <w:rPr>
                        <w:rFonts w:cs="Arial"/>
                        <w:b/>
                        <w:bCs/>
                        <w:color w:val="000000"/>
                        <w:sz w:val="36"/>
                        <w:szCs w:val="36"/>
                        <w:highlight w:val="yellow"/>
                      </w:rPr>
                    </w:pPr>
                    <w:r w:rsidRPr="0014493F">
                      <w:rPr>
                        <w:rFonts w:cs="Arial"/>
                        <w:b/>
                        <w:bCs/>
                        <w:color w:val="000000"/>
                        <w:sz w:val="36"/>
                        <w:szCs w:val="36"/>
                      </w:rPr>
                      <w:t xml:space="preserve">Edition </w:t>
                    </w:r>
                    <w:r w:rsidR="0014493F">
                      <w:rPr>
                        <w:rFonts w:cs="Arial"/>
                        <w:b/>
                        <w:bCs/>
                        <w:color w:val="000000"/>
                        <w:sz w:val="36"/>
                        <w:szCs w:val="36"/>
                        <w:highlight w:val="yellow"/>
                      </w:rPr>
                      <w:t>2</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14493F"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December 2009</w:t>
                    </w:r>
                  </w:p>
                  <w:p w:rsidR="00460028" w:rsidRDefault="0044047B" w:rsidP="00460028">
                    <w:pPr>
                      <w:autoSpaceDE w:val="0"/>
                      <w:autoSpaceDN w:val="0"/>
                      <w:adjustRightInd w:val="0"/>
                      <w:jc w:val="center"/>
                      <w:rPr>
                        <w:rFonts w:cs="Arial"/>
                        <w:b/>
                        <w:bCs/>
                        <w:color w:val="000000"/>
                      </w:rPr>
                    </w:pPr>
                    <w:r w:rsidRPr="0014493F">
                      <w:rPr>
                        <w:rFonts w:cs="Arial"/>
                        <w:b/>
                        <w:bCs/>
                        <w:color w:val="000000"/>
                      </w:rPr>
                      <w:t>Edition</w:t>
                    </w:r>
                    <w:r w:rsidR="0014493F" w:rsidRPr="0014493F">
                      <w:rPr>
                        <w:rFonts w:cs="Arial"/>
                        <w:b/>
                        <w:bCs/>
                        <w:color w:val="000000"/>
                      </w:rPr>
                      <w:t xml:space="preserve"> 1</w:t>
                    </w:r>
                    <w:r w:rsidRPr="0014493F">
                      <w:rPr>
                        <w:rFonts w:cs="Arial"/>
                        <w:b/>
                        <w:bCs/>
                        <w:color w:val="000000"/>
                      </w:rPr>
                      <w:t xml:space="preserve"> / </w:t>
                    </w:r>
                    <w:r w:rsidR="0014493F" w:rsidRPr="0014493F">
                      <w:rPr>
                        <w:rFonts w:cs="Arial"/>
                        <w:b/>
                        <w:bCs/>
                        <w:color w:val="000000"/>
                      </w:rPr>
                      <w:t>M</w:t>
                    </w:r>
                    <w:r w:rsidR="0014493F">
                      <w:rPr>
                        <w:rFonts w:cs="Arial"/>
                        <w:b/>
                        <w:bCs/>
                        <w:color w:val="000000"/>
                      </w:rPr>
                      <w:t>ay 1998</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6" type="#_x0000_t75" style="position:absolute;left:5760;top:8520;width:1415;height:1948" o:regroupid="2">
              <v:imagedata r:id="rId8" o:title="IALA logo1"/>
            </v:shape>
            <v:group id="_x0000_s1137" style="position:absolute;left:1800;top:1330;width:960;height:13844" coordorigin="1800,1330" coordsize="960,13844" o:regroupid="2">
              <v:shape id="_x0000_s1138" type="#_x0000_t202" style="position:absolute;left:-2537;top:9997;width:9634;height:720;rotation:-9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v:shape id="_x0000_s1139" type="#_x0000_t202" style="position:absolute;left:-253;top:3450;width:4982;height:742;rotation:-90" filled="f" fillcolor="#0c9" stroked="f">
                <v:textbox style="layout-flow:vertical;mso-layout-flow-alt:bottom-to-top">
                  <w:txbxContent>
                    <w:p w:rsidR="00460028" w:rsidRDefault="00460028" w:rsidP="00460028">
                      <w:pPr>
                        <w:autoSpaceDE w:val="0"/>
                        <w:autoSpaceDN w:val="0"/>
                        <w:adjustRightInd w:val="0"/>
                        <w:rPr>
                          <w:rFonts w:cs="Arial"/>
                          <w:color w:val="000000"/>
                        </w:rPr>
                      </w:pPr>
                      <w:r>
                        <w:rPr>
                          <w:rFonts w:cs="Arial"/>
                          <w:color w:val="000000"/>
                        </w:rPr>
                        <w:t>International Association of Marine Aids to Navigation and Lighthouse Authorities</w:t>
                      </w:r>
                    </w:p>
                  </w:txbxContent>
                </v:textbox>
              </v:shape>
              <v:line id="_x0000_s1140" style="position:absolute;flip:y;v-text-anchor:middle" from="2760,1506" to="2760,14800"/>
              <v:line id="_x0000_s1141" style="position:absolute;v-text-anchor:middle" from="1800,1560" to="1800,14854"/>
            </v:group>
            <v:shape id="_x0000_s1142" type="#_x0000_t202" style="position:absolute;left:3147;top:12965;width:7225;height:1392" o:regroupid="2" filled="f" fillcolor="#0c9" stroked="f">
              <v:textbox style="mso-next-textbox:#_x0000_s1142">
                <w:txbxContent>
                  <w:p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20ter, rue Schnapper, 78100</w:t>
                    </w:r>
                  </w:p>
                  <w:p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 xml:space="preserve">Saint Germain en </w:t>
                    </w:r>
                    <w:smartTag w:uri="urn:schemas-microsoft-com:office:smarttags" w:element="place">
                      <w:smartTag w:uri="urn:schemas-microsoft-com:office:smarttags" w:element="City">
                        <w:r w:rsidRPr="0044047B">
                          <w:rPr>
                            <w:rFonts w:cs="Arial"/>
                            <w:color w:val="000000"/>
                            <w:sz w:val="20"/>
                            <w:szCs w:val="18"/>
                          </w:rPr>
                          <w:t>Laye</w:t>
                        </w:r>
                      </w:smartTag>
                      <w:r w:rsidRPr="0044047B">
                        <w:rPr>
                          <w:rFonts w:cs="Arial"/>
                          <w:color w:val="000000"/>
                          <w:sz w:val="20"/>
                          <w:szCs w:val="18"/>
                        </w:rPr>
                        <w:t xml:space="preserve">, </w:t>
                      </w:r>
                      <w:smartTag w:uri="urn:schemas-microsoft-com:office:smarttags" w:element="country-region">
                        <w:r w:rsidRPr="0044047B">
                          <w:rPr>
                            <w:rFonts w:cs="Arial"/>
                            <w:color w:val="000000"/>
                            <w:sz w:val="20"/>
                            <w:szCs w:val="18"/>
                          </w:rPr>
                          <w:t>France</w:t>
                        </w:r>
                      </w:smartTag>
                    </w:smartTag>
                  </w:p>
                  <w:p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Pr="0044047B">
                      <w:rPr>
                        <w:rFonts w:cs="Arial"/>
                        <w:color w:val="000000"/>
                        <w:sz w:val="20"/>
                        <w:szCs w:val="18"/>
                      </w:rPr>
                      <w:t xml:space="preserve"> +33 1 34 51 82 05 </w:t>
                    </w:r>
                  </w:p>
                  <w:p w:rsidR="00460028" w:rsidRPr="0044047B" w:rsidRDefault="00985597" w:rsidP="00070873">
                    <w:pPr>
                      <w:autoSpaceDE w:val="0"/>
                      <w:autoSpaceDN w:val="0"/>
                      <w:adjustRightInd w:val="0"/>
                      <w:jc w:val="center"/>
                      <w:rPr>
                        <w:rFonts w:cs="Arial"/>
                        <w:color w:val="000000"/>
                        <w:sz w:val="18"/>
                        <w:szCs w:val="18"/>
                      </w:rPr>
                    </w:pPr>
                    <w:r>
                      <w:rPr>
                        <w:rFonts w:cs="Arial"/>
                        <w:color w:val="000000"/>
                        <w:sz w:val="20"/>
                        <w:szCs w:val="18"/>
                      </w:rPr>
                      <w:t>e</w:t>
                    </w:r>
                    <w:r w:rsidR="0044047B">
                      <w:rPr>
                        <w:rFonts w:cs="Arial"/>
                        <w:color w:val="000000"/>
                        <w:sz w:val="20"/>
                        <w:szCs w:val="18"/>
                      </w:rPr>
                      <w:t xml:space="preserve">-mail: </w:t>
                    </w:r>
                    <w:r w:rsidR="00070873">
                      <w:rPr>
                        <w:rFonts w:cs="Arial"/>
                        <w:color w:val="000000"/>
                        <w:sz w:val="20"/>
                        <w:szCs w:val="18"/>
                      </w:rPr>
                      <w:t xml:space="preserve"> </w:t>
                    </w:r>
                    <w:hyperlink r:id="rId9" w:history="1">
                      <w:r w:rsidR="00070873" w:rsidRPr="00126198">
                        <w:rPr>
                          <w:rStyle w:val="Hyperlink"/>
                          <w:rFonts w:cs="Arial"/>
                          <w:sz w:val="20"/>
                          <w:szCs w:val="18"/>
                        </w:rPr>
                        <w:t>iala-aism@wanadoo.fr</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0" w:history="1">
                      <w:r w:rsidR="00070873" w:rsidRPr="00126198">
                        <w:rPr>
                          <w:rStyle w:val="Hyperlink"/>
                          <w:rFonts w:cs="Arial"/>
                          <w:sz w:val="20"/>
                          <w:szCs w:val="18"/>
                        </w:rPr>
                        <w:t>www.iala-aism.org</w:t>
                      </w:r>
                    </w:hyperlink>
                  </w:p>
                </w:txbxContent>
              </v:textbox>
            </v:shape>
          </v:group>
        </w:pict>
      </w:r>
      <w:r w:rsidR="00460028" w:rsidRPr="00460028">
        <w:br w:type="page"/>
      </w:r>
      <w:bookmarkStart w:id="0" w:name="_Toc240354392"/>
      <w:r w:rsidR="00857962" w:rsidRPr="00460028">
        <w:lastRenderedPageBreak/>
        <w:t>Document Revisions</w:t>
      </w:r>
      <w:bookmarkEnd w:id="0"/>
    </w:p>
    <w:p w:rsidR="00857962" w:rsidRPr="00460028" w:rsidRDefault="00857962" w:rsidP="00857962">
      <w:pPr>
        <w:pStyle w:val="BodyText"/>
      </w:pPr>
      <w:r w:rsidRPr="00460028">
        <w:t>Revisions to the IALA Document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3360"/>
        <w:gridCol w:w="4161"/>
      </w:tblGrid>
      <w:tr w:rsidR="00857962" w:rsidRPr="00460028">
        <w:tc>
          <w:tcPr>
            <w:tcW w:w="1908" w:type="dxa"/>
          </w:tcPr>
          <w:p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857962" w:rsidRPr="00460028" w:rsidTr="00985597">
        <w:trPr>
          <w:trHeight w:val="851"/>
        </w:trPr>
        <w:tc>
          <w:tcPr>
            <w:tcW w:w="1908" w:type="dxa"/>
            <w:vAlign w:val="center"/>
          </w:tcPr>
          <w:p w:rsidR="00857962" w:rsidRPr="0014493F" w:rsidRDefault="0014493F" w:rsidP="00AF615B">
            <w:pPr>
              <w:pStyle w:val="BodyText"/>
            </w:pPr>
            <w:r w:rsidRPr="0014493F">
              <w:t>December 2005</w:t>
            </w:r>
          </w:p>
        </w:tc>
        <w:tc>
          <w:tcPr>
            <w:tcW w:w="3360" w:type="dxa"/>
            <w:vAlign w:val="center"/>
          </w:tcPr>
          <w:p w:rsidR="00857962" w:rsidRPr="0014493F" w:rsidRDefault="0014493F" w:rsidP="00AF615B">
            <w:pPr>
              <w:pStyle w:val="BodyText"/>
            </w:pPr>
            <w:r w:rsidRPr="0014493F">
              <w:t>Entire document</w:t>
            </w:r>
          </w:p>
        </w:tc>
        <w:tc>
          <w:tcPr>
            <w:tcW w:w="4161" w:type="dxa"/>
            <w:vAlign w:val="center"/>
          </w:tcPr>
          <w:p w:rsidR="00857962" w:rsidRPr="00460028" w:rsidRDefault="0014493F" w:rsidP="00AF615B">
            <w:pPr>
              <w:pStyle w:val="BodyText"/>
            </w:pPr>
            <w:r w:rsidRPr="0014493F">
              <w:t>Reformatted to reflect IALA documentation hierarchy</w:t>
            </w:r>
          </w:p>
        </w:tc>
      </w:tr>
      <w:tr w:rsidR="00857962" w:rsidRPr="00460028" w:rsidTr="00985597">
        <w:trPr>
          <w:trHeight w:val="851"/>
        </w:trPr>
        <w:tc>
          <w:tcPr>
            <w:tcW w:w="1908" w:type="dxa"/>
            <w:vAlign w:val="center"/>
          </w:tcPr>
          <w:p w:rsidR="00857962" w:rsidRPr="00460028" w:rsidRDefault="0014493F" w:rsidP="00AF615B">
            <w:pPr>
              <w:pStyle w:val="BodyText"/>
            </w:pPr>
            <w:r w:rsidRPr="0014493F">
              <w:rPr>
                <w:highlight w:val="yellow"/>
              </w:rPr>
              <w:t>December 2009</w:t>
            </w:r>
          </w:p>
        </w:tc>
        <w:tc>
          <w:tcPr>
            <w:tcW w:w="3360" w:type="dxa"/>
            <w:vAlign w:val="center"/>
          </w:tcPr>
          <w:p w:rsidR="00857962" w:rsidRDefault="0014493F" w:rsidP="0014493F">
            <w:pPr>
              <w:pStyle w:val="BodyText"/>
              <w:spacing w:after="0"/>
            </w:pPr>
            <w:r>
              <w:t>Section 2</w:t>
            </w:r>
          </w:p>
          <w:p w:rsidR="0014493F" w:rsidRDefault="0014493F" w:rsidP="00AF615B">
            <w:pPr>
              <w:pStyle w:val="BodyText"/>
            </w:pPr>
          </w:p>
          <w:p w:rsidR="0014493F" w:rsidRPr="00460028" w:rsidRDefault="0014493F" w:rsidP="00AF615B">
            <w:pPr>
              <w:pStyle w:val="BodyText"/>
            </w:pPr>
            <w:r>
              <w:t>New Section 10</w:t>
            </w:r>
          </w:p>
        </w:tc>
        <w:tc>
          <w:tcPr>
            <w:tcW w:w="4161" w:type="dxa"/>
            <w:vAlign w:val="center"/>
          </w:tcPr>
          <w:p w:rsidR="00857962" w:rsidRDefault="0014493F" w:rsidP="00AF615B">
            <w:pPr>
              <w:pStyle w:val="BodyText"/>
            </w:pPr>
            <w:r>
              <w:t>Additional information about the influence on measurement.</w:t>
            </w:r>
          </w:p>
          <w:p w:rsidR="0014493F" w:rsidRPr="00460028" w:rsidRDefault="0014493F" w:rsidP="00AF615B">
            <w:pPr>
              <w:pStyle w:val="BodyText"/>
            </w:pPr>
            <w:r>
              <w:t>Introduction of colour collections.</w:t>
            </w: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bl>
    <w:p w:rsidR="009E1230" w:rsidRPr="00DF6EB4" w:rsidRDefault="00857962" w:rsidP="00DF6EB4">
      <w:pPr>
        <w:pStyle w:val="BlockText"/>
      </w:pPr>
      <w:r w:rsidRPr="00460028">
        <w:br w:type="page"/>
      </w:r>
      <w:r w:rsidR="00DF6EB4" w:rsidRPr="00DF6EB4">
        <w:lastRenderedPageBreak/>
        <w:t xml:space="preserve">IALA </w:t>
      </w:r>
      <w:r w:rsidR="009E1230" w:rsidRPr="00DF6EB4">
        <w:t>Recommendation on</w:t>
      </w:r>
      <w:r w:rsidR="00DF6EB4" w:rsidRPr="00DF6EB4">
        <w:t xml:space="preserve"> </w:t>
      </w:r>
      <w:r w:rsidR="007F7761">
        <w:t>Surface colours used as visual signals on aids to navigation</w:t>
      </w:r>
    </w:p>
    <w:p w:rsidR="009E1230" w:rsidRPr="00460028" w:rsidRDefault="009E1230" w:rsidP="003C44EB">
      <w:pPr>
        <w:pStyle w:val="BlockText"/>
      </w:pPr>
      <w:r w:rsidRPr="00460028">
        <w:t>(Recommendation</w:t>
      </w:r>
      <w:r w:rsidR="00921872">
        <w:t xml:space="preserve"> </w:t>
      </w:r>
      <w:r w:rsidR="007F7761">
        <w:t>E-108</w:t>
      </w:r>
      <w:r w:rsidRPr="00460028">
        <w:t>)</w:t>
      </w:r>
    </w:p>
    <w:p w:rsidR="009E1230" w:rsidRPr="00460028" w:rsidRDefault="009E1230"/>
    <w:p w:rsidR="009E1230" w:rsidRPr="00460028" w:rsidRDefault="009E1230" w:rsidP="007E43BC">
      <w:pPr>
        <w:pStyle w:val="THECOUNCIL"/>
        <w:rPr>
          <w:sz w:val="22"/>
        </w:rPr>
      </w:pPr>
      <w:r w:rsidRPr="00460028">
        <w:t>THE COUNCIL:</w:t>
      </w:r>
    </w:p>
    <w:p w:rsidR="009E1230" w:rsidRPr="0014493F" w:rsidRDefault="009E1230">
      <w:pPr>
        <w:pStyle w:val="BodyText"/>
        <w:spacing w:before="240"/>
        <w:ind w:left="425"/>
        <w:rPr>
          <w:rFonts w:cs="Arial"/>
          <w:szCs w:val="22"/>
        </w:rPr>
      </w:pPr>
      <w:r w:rsidRPr="0014493F">
        <w:rPr>
          <w:rFonts w:cs="Arial"/>
          <w:b/>
          <w:szCs w:val="22"/>
        </w:rPr>
        <w:t>RECALLING</w:t>
      </w:r>
      <w:r w:rsidRPr="0014493F">
        <w:rPr>
          <w:rFonts w:cs="Arial"/>
          <w:szCs w:val="22"/>
        </w:rPr>
        <w:t xml:space="preserve"> the function of IALA with respect to Safety of Navigation, the efficiency of maritime transport and the protection of the environment;</w:t>
      </w:r>
    </w:p>
    <w:p w:rsidR="009E1230" w:rsidRPr="0014493F" w:rsidRDefault="009E1230" w:rsidP="007E43BC">
      <w:pPr>
        <w:pStyle w:val="Recallings"/>
        <w:rPr>
          <w:szCs w:val="22"/>
        </w:rPr>
      </w:pPr>
      <w:r w:rsidRPr="0014493F">
        <w:rPr>
          <w:b/>
          <w:szCs w:val="22"/>
        </w:rPr>
        <w:t xml:space="preserve">RECOGNISING </w:t>
      </w:r>
      <w:bookmarkStart w:id="1" w:name="_Toc479557559"/>
      <w:r w:rsidR="0014493F" w:rsidRPr="0014493F">
        <w:rPr>
          <w:szCs w:val="22"/>
          <w:lang w:eastAsia="de-DE"/>
        </w:rPr>
        <w:t>the work of International Commission on Illumination (CIE) with respect to surface colour for visual signalling</w:t>
      </w:r>
      <w:r w:rsidR="00921872" w:rsidRPr="0014493F">
        <w:rPr>
          <w:szCs w:val="22"/>
        </w:rPr>
        <w:t>;</w:t>
      </w:r>
    </w:p>
    <w:p w:rsidR="009E1230" w:rsidRPr="0014493F" w:rsidRDefault="009E1230" w:rsidP="007E43BC">
      <w:pPr>
        <w:pStyle w:val="Recallings"/>
        <w:rPr>
          <w:szCs w:val="22"/>
        </w:rPr>
      </w:pPr>
      <w:r w:rsidRPr="0014493F">
        <w:rPr>
          <w:b/>
          <w:szCs w:val="22"/>
        </w:rPr>
        <w:t>RECOGNISING ALSO</w:t>
      </w:r>
      <w:r w:rsidRPr="0014493F">
        <w:rPr>
          <w:szCs w:val="22"/>
        </w:rPr>
        <w:t xml:space="preserve"> </w:t>
      </w:r>
      <w:r w:rsidR="0014493F" w:rsidRPr="0014493F">
        <w:rPr>
          <w:szCs w:val="22"/>
          <w:lang w:eastAsia="de-DE"/>
        </w:rPr>
        <w:t>the need to harmonise the surface colours used as visual signals on aids to navigation</w:t>
      </w:r>
      <w:r w:rsidR="00921872" w:rsidRPr="0014493F">
        <w:rPr>
          <w:szCs w:val="22"/>
        </w:rPr>
        <w:t>;</w:t>
      </w:r>
    </w:p>
    <w:p w:rsidR="009E1230" w:rsidRPr="0014493F" w:rsidRDefault="009E1230" w:rsidP="007E43BC">
      <w:pPr>
        <w:pStyle w:val="Recallings"/>
        <w:rPr>
          <w:szCs w:val="22"/>
        </w:rPr>
      </w:pPr>
      <w:r w:rsidRPr="0014493F">
        <w:rPr>
          <w:b/>
          <w:szCs w:val="22"/>
        </w:rPr>
        <w:t>RECOGNISING FURTHER</w:t>
      </w:r>
      <w:r w:rsidRPr="0014493F">
        <w:rPr>
          <w:szCs w:val="22"/>
        </w:rPr>
        <w:t xml:space="preserve"> </w:t>
      </w:r>
      <w:bookmarkEnd w:id="1"/>
      <w:r w:rsidR="0014493F" w:rsidRPr="0014493F">
        <w:rPr>
          <w:szCs w:val="22"/>
          <w:lang w:eastAsia="de-DE"/>
        </w:rPr>
        <w:t>that there is a need to specify both ordinary and fluorescent colours</w:t>
      </w:r>
      <w:r w:rsidR="00921872" w:rsidRPr="0014493F">
        <w:rPr>
          <w:szCs w:val="22"/>
        </w:rPr>
        <w:t>:</w:t>
      </w:r>
    </w:p>
    <w:p w:rsidR="009E1230" w:rsidRPr="0014493F" w:rsidRDefault="009E1230" w:rsidP="007E43BC">
      <w:pPr>
        <w:pStyle w:val="Recallings"/>
        <w:rPr>
          <w:b/>
          <w:szCs w:val="22"/>
        </w:rPr>
      </w:pPr>
      <w:r w:rsidRPr="0014493F">
        <w:rPr>
          <w:b/>
          <w:szCs w:val="22"/>
        </w:rPr>
        <w:t xml:space="preserve">CONSIDERING </w:t>
      </w:r>
      <w:r w:rsidRPr="0014493F">
        <w:rPr>
          <w:szCs w:val="22"/>
        </w:rPr>
        <w:t xml:space="preserve">that </w:t>
      </w:r>
      <w:r w:rsidR="0014493F" w:rsidRPr="0014493F">
        <w:rPr>
          <w:szCs w:val="22"/>
          <w:lang w:eastAsia="de-DE"/>
        </w:rPr>
        <w:t>the proposals of the IALA Engineering, Environmental and Preservation of Historic Lighthouses Committee</w:t>
      </w:r>
      <w:r w:rsidR="0014493F">
        <w:rPr>
          <w:szCs w:val="22"/>
          <w:lang w:eastAsia="de-DE"/>
        </w:rPr>
        <w:t>;</w:t>
      </w:r>
    </w:p>
    <w:p w:rsidR="009E1230" w:rsidRPr="0014493F" w:rsidRDefault="009E1230" w:rsidP="007E43BC">
      <w:pPr>
        <w:pStyle w:val="Recallings"/>
        <w:rPr>
          <w:szCs w:val="22"/>
        </w:rPr>
      </w:pPr>
      <w:r w:rsidRPr="0014493F">
        <w:rPr>
          <w:b/>
          <w:szCs w:val="22"/>
        </w:rPr>
        <w:t>ADOPTS</w:t>
      </w:r>
      <w:r w:rsidR="0014493F" w:rsidRPr="0014493F">
        <w:rPr>
          <w:szCs w:val="22"/>
        </w:rPr>
        <w:t xml:space="preserve"> t</w:t>
      </w:r>
      <w:r w:rsidR="0014493F" w:rsidRPr="0014493F">
        <w:rPr>
          <w:szCs w:val="22"/>
          <w:lang w:eastAsia="de-DE"/>
        </w:rPr>
        <w:t xml:space="preserve">he “Guidelines on the surface colours used as visual signals on aids to navigation”, set out in the </w:t>
      </w:r>
      <w:r w:rsidR="00105CCA">
        <w:rPr>
          <w:szCs w:val="22"/>
        </w:rPr>
        <w:t>Annex of this R</w:t>
      </w:r>
      <w:r w:rsidRPr="0014493F">
        <w:rPr>
          <w:szCs w:val="22"/>
        </w:rPr>
        <w:t>ecommendation; and,</w:t>
      </w:r>
    </w:p>
    <w:p w:rsidR="009E1230" w:rsidRPr="00105CCA" w:rsidRDefault="009E1230" w:rsidP="007E43BC">
      <w:pPr>
        <w:pStyle w:val="Recallings"/>
        <w:rPr>
          <w:szCs w:val="22"/>
          <w:highlight w:val="yellow"/>
        </w:rPr>
      </w:pPr>
      <w:r w:rsidRPr="00105CCA">
        <w:rPr>
          <w:b/>
          <w:highlight w:val="yellow"/>
        </w:rPr>
        <w:t>RECOMMENDS</w:t>
      </w:r>
      <w:r w:rsidRPr="00105CCA">
        <w:rPr>
          <w:highlight w:val="yellow"/>
        </w:rPr>
        <w:t xml:space="preserve"> </w:t>
      </w:r>
      <w:r w:rsidRPr="00105CCA">
        <w:rPr>
          <w:szCs w:val="22"/>
          <w:highlight w:val="yellow"/>
        </w:rPr>
        <w:t>that National Members and other appropriate Authorities providing mar</w:t>
      </w:r>
      <w:r w:rsidR="00675FFD" w:rsidRPr="00105CCA">
        <w:rPr>
          <w:szCs w:val="22"/>
          <w:highlight w:val="yellow"/>
        </w:rPr>
        <w:t>ine aids to navigation services</w:t>
      </w:r>
      <w:r w:rsidR="00105CCA" w:rsidRPr="00105CCA">
        <w:rPr>
          <w:szCs w:val="22"/>
          <w:highlight w:val="yellow"/>
          <w:lang w:eastAsia="de-DE"/>
        </w:rPr>
        <w:t xml:space="preserve"> take into consideration the Annex to this Recommendation when identifying colours for use as visual signals on aids to navigation and that</w:t>
      </w:r>
      <w:r w:rsidR="00675FFD" w:rsidRPr="00105CCA">
        <w:rPr>
          <w:szCs w:val="22"/>
          <w:highlight w:val="yellow"/>
        </w:rPr>
        <w:t>:</w:t>
      </w:r>
    </w:p>
    <w:p w:rsidR="00105CCA" w:rsidRPr="00105CCA" w:rsidRDefault="00105CCA" w:rsidP="00105CCA">
      <w:pPr>
        <w:numPr>
          <w:ilvl w:val="0"/>
          <w:numId w:val="25"/>
        </w:numPr>
        <w:tabs>
          <w:tab w:val="left" w:pos="993"/>
        </w:tabs>
        <w:autoSpaceDE w:val="0"/>
        <w:autoSpaceDN w:val="0"/>
        <w:adjustRightInd w:val="0"/>
        <w:ind w:left="993" w:hanging="633"/>
        <w:jc w:val="both"/>
        <w:rPr>
          <w:rFonts w:cs="Arial"/>
          <w:szCs w:val="22"/>
          <w:highlight w:val="yellow"/>
          <w:lang w:eastAsia="de-DE"/>
        </w:rPr>
      </w:pPr>
      <w:r w:rsidRPr="00105CCA">
        <w:rPr>
          <w:rFonts w:cs="Arial"/>
          <w:szCs w:val="22"/>
          <w:highlight w:val="yellow"/>
          <w:lang w:eastAsia="de-DE"/>
        </w:rPr>
        <w:t>The ordinary colours used as visual signals on aids to navigation be Red, Yellow, Green, Blue, White and Black, and Orange for special purposes requiring high conspicuity; and that their colour limits (extent of chromaticity and luminance factor) be as specified in Table 1 of the Annex;</w:t>
      </w:r>
    </w:p>
    <w:p w:rsidR="00105CCA" w:rsidRPr="00105CCA" w:rsidRDefault="00105CCA" w:rsidP="00105CCA">
      <w:pPr>
        <w:numPr>
          <w:ilvl w:val="0"/>
          <w:numId w:val="25"/>
        </w:numPr>
        <w:tabs>
          <w:tab w:val="left" w:pos="993"/>
        </w:tabs>
        <w:autoSpaceDE w:val="0"/>
        <w:autoSpaceDN w:val="0"/>
        <w:adjustRightInd w:val="0"/>
        <w:ind w:left="993" w:hanging="633"/>
        <w:jc w:val="both"/>
        <w:rPr>
          <w:rFonts w:cs="Arial"/>
          <w:szCs w:val="22"/>
          <w:highlight w:val="yellow"/>
          <w:lang w:eastAsia="de-DE"/>
        </w:rPr>
      </w:pPr>
      <w:r w:rsidRPr="00105CCA">
        <w:rPr>
          <w:rFonts w:cs="Arial"/>
          <w:szCs w:val="22"/>
          <w:highlight w:val="yellow"/>
          <w:lang w:eastAsia="de-DE"/>
        </w:rPr>
        <w:t>The fluorescent colours used as signals on aids to navigation be Red, Yellow and Green, and Orange for special purposes requiring high conspicuity; and that their colour limits be as specified in Table 3 of the Annex;</w:t>
      </w:r>
    </w:p>
    <w:p w:rsidR="00105CCA" w:rsidRPr="00105CCA" w:rsidRDefault="00105CCA" w:rsidP="00105CCA">
      <w:pPr>
        <w:numPr>
          <w:ilvl w:val="0"/>
          <w:numId w:val="25"/>
        </w:numPr>
        <w:tabs>
          <w:tab w:val="left" w:pos="993"/>
        </w:tabs>
        <w:autoSpaceDE w:val="0"/>
        <w:autoSpaceDN w:val="0"/>
        <w:adjustRightInd w:val="0"/>
        <w:ind w:left="993" w:hanging="633"/>
        <w:jc w:val="both"/>
        <w:rPr>
          <w:rFonts w:cs="Arial"/>
          <w:szCs w:val="22"/>
          <w:highlight w:val="yellow"/>
          <w:lang w:eastAsia="de-DE"/>
        </w:rPr>
      </w:pPr>
      <w:r w:rsidRPr="00105CCA">
        <w:rPr>
          <w:rFonts w:cs="Arial"/>
          <w:szCs w:val="22"/>
          <w:highlight w:val="yellow"/>
          <w:lang w:eastAsia="de-DE"/>
        </w:rPr>
        <w:t>Any other surface colour that may be used be defined in accordance with the Recommendations of the International C</w:t>
      </w:r>
      <w:r>
        <w:rPr>
          <w:rFonts w:cs="Arial"/>
          <w:szCs w:val="22"/>
          <w:highlight w:val="yellow"/>
          <w:lang w:eastAsia="de-DE"/>
        </w:rPr>
        <w:t>ommission on Illumination (CIE)</w:t>
      </w:r>
      <w:r>
        <w:rPr>
          <w:rStyle w:val="FootnoteReference"/>
          <w:rFonts w:cs="Arial"/>
          <w:szCs w:val="22"/>
          <w:highlight w:val="yellow"/>
          <w:lang w:eastAsia="de-DE"/>
        </w:rPr>
        <w:footnoteReference w:id="1"/>
      </w:r>
      <w:r w:rsidRPr="00105CCA">
        <w:rPr>
          <w:rFonts w:cs="Arial"/>
          <w:szCs w:val="22"/>
          <w:highlight w:val="yellow"/>
          <w:lang w:eastAsia="de-DE"/>
        </w:rPr>
        <w:t xml:space="preserve"> and in conformity, as far as practicable, with the colour limits of Table 1 of the Guidelines on the surface colours used as visual signals on aids to navigation; and</w:t>
      </w:r>
    </w:p>
    <w:p w:rsidR="00105CCA" w:rsidRPr="00105CCA" w:rsidRDefault="00105CCA" w:rsidP="00105CCA">
      <w:pPr>
        <w:numPr>
          <w:ilvl w:val="0"/>
          <w:numId w:val="25"/>
        </w:numPr>
        <w:tabs>
          <w:tab w:val="left" w:pos="993"/>
        </w:tabs>
        <w:autoSpaceDE w:val="0"/>
        <w:autoSpaceDN w:val="0"/>
        <w:adjustRightInd w:val="0"/>
        <w:ind w:left="993" w:hanging="633"/>
        <w:jc w:val="both"/>
        <w:rPr>
          <w:rFonts w:cs="Arial"/>
          <w:szCs w:val="22"/>
          <w:highlight w:val="yellow"/>
          <w:lang w:eastAsia="de-DE"/>
        </w:rPr>
      </w:pPr>
      <w:r w:rsidRPr="00105CCA">
        <w:rPr>
          <w:rFonts w:cs="Arial"/>
          <w:szCs w:val="22"/>
          <w:highlight w:val="yellow"/>
          <w:lang w:eastAsia="de-DE"/>
        </w:rPr>
        <w:t>Any additional colours be defined in accordance with the recommendations of the CIE and be considered with extreme caution in regard to the confusions that might arise.</w:t>
      </w:r>
    </w:p>
    <w:p w:rsidR="009E1230" w:rsidRPr="007E43BC" w:rsidRDefault="009E1230" w:rsidP="00105CCA">
      <w:pPr>
        <w:pStyle w:val="RecommendsNo"/>
      </w:pPr>
    </w:p>
    <w:p w:rsidR="00460028" w:rsidRDefault="009E1230" w:rsidP="00E22226">
      <w:pPr>
        <w:pStyle w:val="Title"/>
      </w:pPr>
      <w:r w:rsidRPr="00460028">
        <w:br w:type="page"/>
      </w:r>
      <w:bookmarkStart w:id="2" w:name="_Toc240354393"/>
      <w:r w:rsidR="00460028">
        <w:lastRenderedPageBreak/>
        <w:t>Table of Contents</w:t>
      </w:r>
      <w:bookmarkEnd w:id="2"/>
    </w:p>
    <w:p w:rsidR="007F7761" w:rsidRDefault="00612061">
      <w:pPr>
        <w:pStyle w:val="TOC1"/>
        <w:rPr>
          <w:rFonts w:asciiTheme="minorHAnsi" w:eastAsiaTheme="minorEastAsia" w:hAnsiTheme="minorHAnsi" w:cstheme="minorBidi"/>
          <w:b w:val="0"/>
          <w:bCs w:val="0"/>
          <w:caps w:val="0"/>
          <w:noProof/>
          <w:szCs w:val="22"/>
          <w:lang w:eastAsia="en-GB"/>
        </w:rPr>
      </w:pPr>
      <w:r w:rsidRPr="00612061">
        <w:rPr>
          <w:bCs w:val="0"/>
          <w:caps w:val="0"/>
        </w:rPr>
        <w:fldChar w:fldCharType="begin"/>
      </w:r>
      <w:r w:rsidR="00E22226">
        <w:rPr>
          <w:bCs w:val="0"/>
          <w:caps w:val="0"/>
        </w:rPr>
        <w:instrText xml:space="preserve"> TOC \o "2-3" \h \z \t "Heading 1,1,Title,1,Appendix,5" </w:instrText>
      </w:r>
      <w:r w:rsidRPr="00612061">
        <w:rPr>
          <w:bCs w:val="0"/>
          <w:caps w:val="0"/>
        </w:rPr>
        <w:fldChar w:fldCharType="separate"/>
      </w:r>
      <w:hyperlink w:anchor="_Toc240354392" w:history="1">
        <w:r w:rsidR="007F7761" w:rsidRPr="00B94A4D">
          <w:rPr>
            <w:rStyle w:val="Hyperlink"/>
            <w:noProof/>
          </w:rPr>
          <w:t>Document Revisions</w:t>
        </w:r>
        <w:r w:rsidR="007F7761">
          <w:rPr>
            <w:noProof/>
            <w:webHidden/>
          </w:rPr>
          <w:tab/>
        </w:r>
        <w:r>
          <w:rPr>
            <w:noProof/>
            <w:webHidden/>
          </w:rPr>
          <w:fldChar w:fldCharType="begin"/>
        </w:r>
        <w:r w:rsidR="007F7761">
          <w:rPr>
            <w:noProof/>
            <w:webHidden/>
          </w:rPr>
          <w:instrText xml:space="preserve"> PAGEREF _Toc240354392 \h </w:instrText>
        </w:r>
        <w:r>
          <w:rPr>
            <w:noProof/>
            <w:webHidden/>
          </w:rPr>
        </w:r>
        <w:r>
          <w:rPr>
            <w:noProof/>
            <w:webHidden/>
          </w:rPr>
          <w:fldChar w:fldCharType="separate"/>
        </w:r>
        <w:r w:rsidR="007F7761">
          <w:rPr>
            <w:noProof/>
            <w:webHidden/>
          </w:rPr>
          <w:t>2</w:t>
        </w:r>
        <w:r>
          <w:rPr>
            <w:noProof/>
            <w:webHidden/>
          </w:rPr>
          <w:fldChar w:fldCharType="end"/>
        </w:r>
      </w:hyperlink>
    </w:p>
    <w:p w:rsidR="007F7761" w:rsidRDefault="00612061">
      <w:pPr>
        <w:pStyle w:val="TOC1"/>
        <w:rPr>
          <w:rFonts w:asciiTheme="minorHAnsi" w:eastAsiaTheme="minorEastAsia" w:hAnsiTheme="minorHAnsi" w:cstheme="minorBidi"/>
          <w:b w:val="0"/>
          <w:bCs w:val="0"/>
          <w:caps w:val="0"/>
          <w:noProof/>
          <w:szCs w:val="22"/>
          <w:lang w:eastAsia="en-GB"/>
        </w:rPr>
      </w:pPr>
      <w:hyperlink w:anchor="_Toc240354393" w:history="1">
        <w:r w:rsidR="007F7761" w:rsidRPr="00B94A4D">
          <w:rPr>
            <w:rStyle w:val="Hyperlink"/>
            <w:noProof/>
          </w:rPr>
          <w:t>Table of Contents</w:t>
        </w:r>
        <w:r w:rsidR="007F7761">
          <w:rPr>
            <w:noProof/>
            <w:webHidden/>
          </w:rPr>
          <w:tab/>
        </w:r>
        <w:r>
          <w:rPr>
            <w:noProof/>
            <w:webHidden/>
          </w:rPr>
          <w:fldChar w:fldCharType="begin"/>
        </w:r>
        <w:r w:rsidR="007F7761">
          <w:rPr>
            <w:noProof/>
            <w:webHidden/>
          </w:rPr>
          <w:instrText xml:space="preserve"> PAGEREF _Toc240354393 \h </w:instrText>
        </w:r>
        <w:r>
          <w:rPr>
            <w:noProof/>
            <w:webHidden/>
          </w:rPr>
        </w:r>
        <w:r>
          <w:rPr>
            <w:noProof/>
            <w:webHidden/>
          </w:rPr>
          <w:fldChar w:fldCharType="separate"/>
        </w:r>
        <w:r w:rsidR="007F7761">
          <w:rPr>
            <w:noProof/>
            <w:webHidden/>
          </w:rPr>
          <w:t>4</w:t>
        </w:r>
        <w:r>
          <w:rPr>
            <w:noProof/>
            <w:webHidden/>
          </w:rPr>
          <w:fldChar w:fldCharType="end"/>
        </w:r>
      </w:hyperlink>
    </w:p>
    <w:p w:rsidR="007F7761" w:rsidRDefault="00612061">
      <w:pPr>
        <w:pStyle w:val="TOC1"/>
        <w:rPr>
          <w:rFonts w:asciiTheme="minorHAnsi" w:eastAsiaTheme="minorEastAsia" w:hAnsiTheme="minorHAnsi" w:cstheme="minorBidi"/>
          <w:b w:val="0"/>
          <w:bCs w:val="0"/>
          <w:caps w:val="0"/>
          <w:noProof/>
          <w:szCs w:val="22"/>
          <w:lang w:eastAsia="en-GB"/>
        </w:rPr>
      </w:pPr>
      <w:hyperlink w:anchor="_Toc240354394" w:history="1">
        <w:r w:rsidR="007F7761" w:rsidRPr="00B94A4D">
          <w:rPr>
            <w:rStyle w:val="Hyperlink"/>
            <w:noProof/>
          </w:rPr>
          <w:t>Index of Tables</w:t>
        </w:r>
        <w:r w:rsidR="007F7761">
          <w:rPr>
            <w:noProof/>
            <w:webHidden/>
          </w:rPr>
          <w:tab/>
        </w:r>
        <w:r>
          <w:rPr>
            <w:noProof/>
            <w:webHidden/>
          </w:rPr>
          <w:fldChar w:fldCharType="begin"/>
        </w:r>
        <w:r w:rsidR="007F7761">
          <w:rPr>
            <w:noProof/>
            <w:webHidden/>
          </w:rPr>
          <w:instrText xml:space="preserve"> PAGEREF _Toc240354394 \h </w:instrText>
        </w:r>
        <w:r>
          <w:rPr>
            <w:noProof/>
            <w:webHidden/>
          </w:rPr>
        </w:r>
        <w:r>
          <w:rPr>
            <w:noProof/>
            <w:webHidden/>
          </w:rPr>
          <w:fldChar w:fldCharType="separate"/>
        </w:r>
        <w:r w:rsidR="007F7761">
          <w:rPr>
            <w:noProof/>
            <w:webHidden/>
          </w:rPr>
          <w:t>4</w:t>
        </w:r>
        <w:r>
          <w:rPr>
            <w:noProof/>
            <w:webHidden/>
          </w:rPr>
          <w:fldChar w:fldCharType="end"/>
        </w:r>
      </w:hyperlink>
    </w:p>
    <w:p w:rsidR="007F7761" w:rsidRDefault="00612061">
      <w:pPr>
        <w:pStyle w:val="TOC1"/>
        <w:rPr>
          <w:rFonts w:asciiTheme="minorHAnsi" w:eastAsiaTheme="minorEastAsia" w:hAnsiTheme="minorHAnsi" w:cstheme="minorBidi"/>
          <w:b w:val="0"/>
          <w:bCs w:val="0"/>
          <w:caps w:val="0"/>
          <w:noProof/>
          <w:szCs w:val="22"/>
          <w:lang w:eastAsia="en-GB"/>
        </w:rPr>
      </w:pPr>
      <w:hyperlink w:anchor="_Toc240354395" w:history="1">
        <w:r w:rsidR="007F7761" w:rsidRPr="00B94A4D">
          <w:rPr>
            <w:rStyle w:val="Hyperlink"/>
            <w:noProof/>
          </w:rPr>
          <w:t>Index of Figures</w:t>
        </w:r>
        <w:r w:rsidR="007F7761">
          <w:rPr>
            <w:noProof/>
            <w:webHidden/>
          </w:rPr>
          <w:tab/>
        </w:r>
        <w:r>
          <w:rPr>
            <w:noProof/>
            <w:webHidden/>
          </w:rPr>
          <w:fldChar w:fldCharType="begin"/>
        </w:r>
        <w:r w:rsidR="007F7761">
          <w:rPr>
            <w:noProof/>
            <w:webHidden/>
          </w:rPr>
          <w:instrText xml:space="preserve"> PAGEREF _Toc240354395 \h </w:instrText>
        </w:r>
        <w:r>
          <w:rPr>
            <w:noProof/>
            <w:webHidden/>
          </w:rPr>
        </w:r>
        <w:r>
          <w:rPr>
            <w:noProof/>
            <w:webHidden/>
          </w:rPr>
          <w:fldChar w:fldCharType="separate"/>
        </w:r>
        <w:r w:rsidR="007F7761">
          <w:rPr>
            <w:noProof/>
            <w:webHidden/>
          </w:rPr>
          <w:t>4</w:t>
        </w:r>
        <w:r>
          <w:rPr>
            <w:noProof/>
            <w:webHidden/>
          </w:rPr>
          <w:fldChar w:fldCharType="end"/>
        </w:r>
      </w:hyperlink>
    </w:p>
    <w:p w:rsidR="007F7761" w:rsidRDefault="00612061">
      <w:pPr>
        <w:pStyle w:val="TOC1"/>
        <w:rPr>
          <w:rFonts w:asciiTheme="minorHAnsi" w:eastAsiaTheme="minorEastAsia" w:hAnsiTheme="minorHAnsi" w:cstheme="minorBidi"/>
          <w:b w:val="0"/>
          <w:bCs w:val="0"/>
          <w:caps w:val="0"/>
          <w:noProof/>
          <w:szCs w:val="22"/>
          <w:lang w:eastAsia="en-GB"/>
        </w:rPr>
      </w:pPr>
      <w:hyperlink w:anchor="_Toc240354396" w:history="1">
        <w:r w:rsidR="007F7761" w:rsidRPr="00B94A4D">
          <w:rPr>
            <w:rStyle w:val="Hyperlink"/>
            <w:noProof/>
          </w:rPr>
          <w:t>Annex</w:t>
        </w:r>
        <w:r w:rsidR="007F7761">
          <w:rPr>
            <w:noProof/>
            <w:webHidden/>
          </w:rPr>
          <w:tab/>
        </w:r>
        <w:r>
          <w:rPr>
            <w:noProof/>
            <w:webHidden/>
          </w:rPr>
          <w:fldChar w:fldCharType="begin"/>
        </w:r>
        <w:r w:rsidR="007F7761">
          <w:rPr>
            <w:noProof/>
            <w:webHidden/>
          </w:rPr>
          <w:instrText xml:space="preserve"> PAGEREF _Toc240354396 \h </w:instrText>
        </w:r>
        <w:r>
          <w:rPr>
            <w:noProof/>
            <w:webHidden/>
          </w:rPr>
        </w:r>
        <w:r>
          <w:rPr>
            <w:noProof/>
            <w:webHidden/>
          </w:rPr>
          <w:fldChar w:fldCharType="separate"/>
        </w:r>
        <w:r w:rsidR="007F7761">
          <w:rPr>
            <w:noProof/>
            <w:webHidden/>
          </w:rPr>
          <w:t>6</w:t>
        </w:r>
        <w:r>
          <w:rPr>
            <w:noProof/>
            <w:webHidden/>
          </w:rPr>
          <w:fldChar w:fldCharType="end"/>
        </w:r>
      </w:hyperlink>
    </w:p>
    <w:p w:rsidR="007F7761" w:rsidRDefault="00612061">
      <w:pPr>
        <w:pStyle w:val="TOC1"/>
        <w:rPr>
          <w:rFonts w:asciiTheme="minorHAnsi" w:eastAsiaTheme="minorEastAsia" w:hAnsiTheme="minorHAnsi" w:cstheme="minorBidi"/>
          <w:b w:val="0"/>
          <w:bCs w:val="0"/>
          <w:caps w:val="0"/>
          <w:noProof/>
          <w:szCs w:val="22"/>
          <w:lang w:eastAsia="en-GB"/>
        </w:rPr>
      </w:pPr>
      <w:hyperlink w:anchor="_Toc240354397" w:history="1">
        <w:r w:rsidR="007F7761" w:rsidRPr="00B94A4D">
          <w:rPr>
            <w:rStyle w:val="Hyperlink"/>
            <w:noProof/>
          </w:rPr>
          <w:t>1</w:t>
        </w:r>
        <w:r w:rsidR="007F7761">
          <w:rPr>
            <w:rFonts w:asciiTheme="minorHAnsi" w:eastAsiaTheme="minorEastAsia" w:hAnsiTheme="minorHAnsi" w:cstheme="minorBidi"/>
            <w:b w:val="0"/>
            <w:bCs w:val="0"/>
            <w:caps w:val="0"/>
            <w:noProof/>
            <w:szCs w:val="22"/>
            <w:lang w:eastAsia="en-GB"/>
          </w:rPr>
          <w:tab/>
        </w:r>
        <w:r w:rsidR="007F7761" w:rsidRPr="00B94A4D">
          <w:rPr>
            <w:rStyle w:val="Hyperlink"/>
            <w:noProof/>
          </w:rPr>
          <w:t>General</w:t>
        </w:r>
        <w:r w:rsidR="007F7761">
          <w:rPr>
            <w:noProof/>
            <w:webHidden/>
          </w:rPr>
          <w:tab/>
        </w:r>
        <w:r>
          <w:rPr>
            <w:noProof/>
            <w:webHidden/>
          </w:rPr>
          <w:fldChar w:fldCharType="begin"/>
        </w:r>
        <w:r w:rsidR="007F7761">
          <w:rPr>
            <w:noProof/>
            <w:webHidden/>
          </w:rPr>
          <w:instrText xml:space="preserve"> PAGEREF _Toc240354397 \h </w:instrText>
        </w:r>
        <w:r>
          <w:rPr>
            <w:noProof/>
            <w:webHidden/>
          </w:rPr>
        </w:r>
        <w:r>
          <w:rPr>
            <w:noProof/>
            <w:webHidden/>
          </w:rPr>
          <w:fldChar w:fldCharType="separate"/>
        </w:r>
        <w:r w:rsidR="007F7761">
          <w:rPr>
            <w:noProof/>
            <w:webHidden/>
          </w:rPr>
          <w:t>6</w:t>
        </w:r>
        <w:r>
          <w:rPr>
            <w:noProof/>
            <w:webHidden/>
          </w:rPr>
          <w:fldChar w:fldCharType="end"/>
        </w:r>
      </w:hyperlink>
    </w:p>
    <w:p w:rsidR="007F7761" w:rsidRDefault="00612061">
      <w:pPr>
        <w:pStyle w:val="TOC1"/>
        <w:rPr>
          <w:rFonts w:asciiTheme="minorHAnsi" w:eastAsiaTheme="minorEastAsia" w:hAnsiTheme="minorHAnsi" w:cstheme="minorBidi"/>
          <w:b w:val="0"/>
          <w:bCs w:val="0"/>
          <w:caps w:val="0"/>
          <w:noProof/>
          <w:szCs w:val="22"/>
          <w:lang w:eastAsia="en-GB"/>
        </w:rPr>
      </w:pPr>
      <w:hyperlink w:anchor="_Toc240354398" w:history="1">
        <w:r w:rsidR="007F7761" w:rsidRPr="00B94A4D">
          <w:rPr>
            <w:rStyle w:val="Hyperlink"/>
            <w:noProof/>
          </w:rPr>
          <w:t>2</w:t>
        </w:r>
        <w:r w:rsidR="007F7761">
          <w:rPr>
            <w:rFonts w:asciiTheme="minorHAnsi" w:eastAsiaTheme="minorEastAsia" w:hAnsiTheme="minorHAnsi" w:cstheme="minorBidi"/>
            <w:b w:val="0"/>
            <w:bCs w:val="0"/>
            <w:caps w:val="0"/>
            <w:noProof/>
            <w:szCs w:val="22"/>
            <w:lang w:eastAsia="en-GB"/>
          </w:rPr>
          <w:tab/>
        </w:r>
        <w:r w:rsidR="007F7761" w:rsidRPr="00B94A4D">
          <w:rPr>
            <w:rStyle w:val="Hyperlink"/>
            <w:noProof/>
          </w:rPr>
          <w:t>Specification and measurement of the colours</w:t>
        </w:r>
        <w:r w:rsidR="007F7761">
          <w:rPr>
            <w:noProof/>
            <w:webHidden/>
          </w:rPr>
          <w:tab/>
        </w:r>
        <w:r>
          <w:rPr>
            <w:noProof/>
            <w:webHidden/>
          </w:rPr>
          <w:fldChar w:fldCharType="begin"/>
        </w:r>
        <w:r w:rsidR="007F7761">
          <w:rPr>
            <w:noProof/>
            <w:webHidden/>
          </w:rPr>
          <w:instrText xml:space="preserve"> PAGEREF _Toc240354398 \h </w:instrText>
        </w:r>
        <w:r>
          <w:rPr>
            <w:noProof/>
            <w:webHidden/>
          </w:rPr>
        </w:r>
        <w:r>
          <w:rPr>
            <w:noProof/>
            <w:webHidden/>
          </w:rPr>
          <w:fldChar w:fldCharType="separate"/>
        </w:r>
        <w:r w:rsidR="007F7761">
          <w:rPr>
            <w:noProof/>
            <w:webHidden/>
          </w:rPr>
          <w:t>6</w:t>
        </w:r>
        <w:r>
          <w:rPr>
            <w:noProof/>
            <w:webHidden/>
          </w:rPr>
          <w:fldChar w:fldCharType="end"/>
        </w:r>
      </w:hyperlink>
    </w:p>
    <w:p w:rsidR="007F7761" w:rsidRDefault="00612061">
      <w:pPr>
        <w:pStyle w:val="TOC2"/>
        <w:rPr>
          <w:rFonts w:asciiTheme="minorHAnsi" w:eastAsiaTheme="minorEastAsia" w:hAnsiTheme="minorHAnsi" w:cstheme="minorBidi"/>
          <w:bCs w:val="0"/>
          <w:noProof/>
          <w:szCs w:val="22"/>
          <w:lang w:eastAsia="en-GB"/>
        </w:rPr>
      </w:pPr>
      <w:hyperlink w:anchor="_Toc240354399" w:history="1">
        <w:r w:rsidR="007F7761" w:rsidRPr="00B94A4D">
          <w:rPr>
            <w:rStyle w:val="Hyperlink"/>
            <w:noProof/>
            <w:highlight w:val="yellow"/>
          </w:rPr>
          <w:t>2.1</w:t>
        </w:r>
        <w:r w:rsidR="007F7761">
          <w:rPr>
            <w:rFonts w:asciiTheme="minorHAnsi" w:eastAsiaTheme="minorEastAsia" w:hAnsiTheme="minorHAnsi" w:cstheme="minorBidi"/>
            <w:bCs w:val="0"/>
            <w:noProof/>
            <w:szCs w:val="22"/>
            <w:lang w:eastAsia="en-GB"/>
          </w:rPr>
          <w:tab/>
        </w:r>
        <w:r w:rsidR="007F7761" w:rsidRPr="00B94A4D">
          <w:rPr>
            <w:rStyle w:val="Hyperlink"/>
            <w:noProof/>
            <w:highlight w:val="yellow"/>
          </w:rPr>
          <w:t>Standard illuminant:</w:t>
        </w:r>
        <w:r w:rsidR="007F7761">
          <w:rPr>
            <w:noProof/>
            <w:webHidden/>
          </w:rPr>
          <w:tab/>
        </w:r>
        <w:r>
          <w:rPr>
            <w:noProof/>
            <w:webHidden/>
          </w:rPr>
          <w:fldChar w:fldCharType="begin"/>
        </w:r>
        <w:r w:rsidR="007F7761">
          <w:rPr>
            <w:noProof/>
            <w:webHidden/>
          </w:rPr>
          <w:instrText xml:space="preserve"> PAGEREF _Toc240354399 \h </w:instrText>
        </w:r>
        <w:r>
          <w:rPr>
            <w:noProof/>
            <w:webHidden/>
          </w:rPr>
        </w:r>
        <w:r>
          <w:rPr>
            <w:noProof/>
            <w:webHidden/>
          </w:rPr>
          <w:fldChar w:fldCharType="separate"/>
        </w:r>
        <w:r w:rsidR="007F7761">
          <w:rPr>
            <w:noProof/>
            <w:webHidden/>
          </w:rPr>
          <w:t>7</w:t>
        </w:r>
        <w:r>
          <w:rPr>
            <w:noProof/>
            <w:webHidden/>
          </w:rPr>
          <w:fldChar w:fldCharType="end"/>
        </w:r>
      </w:hyperlink>
    </w:p>
    <w:p w:rsidR="007F7761" w:rsidRDefault="00612061">
      <w:pPr>
        <w:pStyle w:val="TOC2"/>
        <w:rPr>
          <w:rFonts w:asciiTheme="minorHAnsi" w:eastAsiaTheme="minorEastAsia" w:hAnsiTheme="minorHAnsi" w:cstheme="minorBidi"/>
          <w:bCs w:val="0"/>
          <w:noProof/>
          <w:szCs w:val="22"/>
          <w:lang w:eastAsia="en-GB"/>
        </w:rPr>
      </w:pPr>
      <w:hyperlink w:anchor="_Toc240354400" w:history="1">
        <w:r w:rsidR="007F7761" w:rsidRPr="00B94A4D">
          <w:rPr>
            <w:rStyle w:val="Hyperlink"/>
            <w:noProof/>
            <w:highlight w:val="yellow"/>
          </w:rPr>
          <w:t>2.2</w:t>
        </w:r>
        <w:r w:rsidR="007F7761">
          <w:rPr>
            <w:rFonts w:asciiTheme="minorHAnsi" w:eastAsiaTheme="minorEastAsia" w:hAnsiTheme="minorHAnsi" w:cstheme="minorBidi"/>
            <w:bCs w:val="0"/>
            <w:noProof/>
            <w:szCs w:val="22"/>
            <w:lang w:eastAsia="en-GB"/>
          </w:rPr>
          <w:tab/>
        </w:r>
        <w:r w:rsidR="007F7761" w:rsidRPr="00B94A4D">
          <w:rPr>
            <w:rStyle w:val="Hyperlink"/>
            <w:noProof/>
            <w:highlight w:val="yellow"/>
          </w:rPr>
          <w:t>Measurement Geometry:</w:t>
        </w:r>
        <w:r w:rsidR="007F7761">
          <w:rPr>
            <w:noProof/>
            <w:webHidden/>
          </w:rPr>
          <w:tab/>
        </w:r>
        <w:r>
          <w:rPr>
            <w:noProof/>
            <w:webHidden/>
          </w:rPr>
          <w:fldChar w:fldCharType="begin"/>
        </w:r>
        <w:r w:rsidR="007F7761">
          <w:rPr>
            <w:noProof/>
            <w:webHidden/>
          </w:rPr>
          <w:instrText xml:space="preserve"> PAGEREF _Toc240354400 \h </w:instrText>
        </w:r>
        <w:r>
          <w:rPr>
            <w:noProof/>
            <w:webHidden/>
          </w:rPr>
        </w:r>
        <w:r>
          <w:rPr>
            <w:noProof/>
            <w:webHidden/>
          </w:rPr>
          <w:fldChar w:fldCharType="separate"/>
        </w:r>
        <w:r w:rsidR="007F7761">
          <w:rPr>
            <w:noProof/>
            <w:webHidden/>
          </w:rPr>
          <w:t>7</w:t>
        </w:r>
        <w:r>
          <w:rPr>
            <w:noProof/>
            <w:webHidden/>
          </w:rPr>
          <w:fldChar w:fldCharType="end"/>
        </w:r>
      </w:hyperlink>
    </w:p>
    <w:p w:rsidR="007F7761" w:rsidRDefault="00612061">
      <w:pPr>
        <w:pStyle w:val="TOC2"/>
        <w:rPr>
          <w:rFonts w:asciiTheme="minorHAnsi" w:eastAsiaTheme="minorEastAsia" w:hAnsiTheme="minorHAnsi" w:cstheme="minorBidi"/>
          <w:bCs w:val="0"/>
          <w:noProof/>
          <w:szCs w:val="22"/>
          <w:lang w:eastAsia="en-GB"/>
        </w:rPr>
      </w:pPr>
      <w:hyperlink w:anchor="_Toc240354401" w:history="1">
        <w:r w:rsidR="007F7761" w:rsidRPr="00B94A4D">
          <w:rPr>
            <w:rStyle w:val="Hyperlink"/>
            <w:noProof/>
            <w:highlight w:val="yellow"/>
          </w:rPr>
          <w:t>2.3</w:t>
        </w:r>
        <w:r w:rsidR="007F7761">
          <w:rPr>
            <w:rFonts w:asciiTheme="minorHAnsi" w:eastAsiaTheme="minorEastAsia" w:hAnsiTheme="minorHAnsi" w:cstheme="minorBidi"/>
            <w:bCs w:val="0"/>
            <w:noProof/>
            <w:szCs w:val="22"/>
            <w:lang w:eastAsia="en-GB"/>
          </w:rPr>
          <w:tab/>
        </w:r>
        <w:r w:rsidR="007F7761" w:rsidRPr="00B94A4D">
          <w:rPr>
            <w:rStyle w:val="Hyperlink"/>
            <w:noProof/>
            <w:highlight w:val="yellow"/>
          </w:rPr>
          <w:t>Standard Observer:</w:t>
        </w:r>
        <w:r w:rsidR="007F7761">
          <w:rPr>
            <w:noProof/>
            <w:webHidden/>
          </w:rPr>
          <w:tab/>
        </w:r>
        <w:r>
          <w:rPr>
            <w:noProof/>
            <w:webHidden/>
          </w:rPr>
          <w:fldChar w:fldCharType="begin"/>
        </w:r>
        <w:r w:rsidR="007F7761">
          <w:rPr>
            <w:noProof/>
            <w:webHidden/>
          </w:rPr>
          <w:instrText xml:space="preserve"> PAGEREF _Toc240354401 \h </w:instrText>
        </w:r>
        <w:r>
          <w:rPr>
            <w:noProof/>
            <w:webHidden/>
          </w:rPr>
        </w:r>
        <w:r>
          <w:rPr>
            <w:noProof/>
            <w:webHidden/>
          </w:rPr>
          <w:fldChar w:fldCharType="separate"/>
        </w:r>
        <w:r w:rsidR="007F7761">
          <w:rPr>
            <w:noProof/>
            <w:webHidden/>
          </w:rPr>
          <w:t>7</w:t>
        </w:r>
        <w:r>
          <w:rPr>
            <w:noProof/>
            <w:webHidden/>
          </w:rPr>
          <w:fldChar w:fldCharType="end"/>
        </w:r>
      </w:hyperlink>
    </w:p>
    <w:p w:rsidR="007F7761" w:rsidRDefault="00612061">
      <w:pPr>
        <w:pStyle w:val="TOC2"/>
        <w:rPr>
          <w:rFonts w:asciiTheme="minorHAnsi" w:eastAsiaTheme="minorEastAsia" w:hAnsiTheme="minorHAnsi" w:cstheme="minorBidi"/>
          <w:bCs w:val="0"/>
          <w:noProof/>
          <w:szCs w:val="22"/>
          <w:lang w:eastAsia="en-GB"/>
        </w:rPr>
      </w:pPr>
      <w:hyperlink w:anchor="_Toc240354402" w:history="1">
        <w:r w:rsidR="007F7761" w:rsidRPr="00B94A4D">
          <w:rPr>
            <w:rStyle w:val="Hyperlink"/>
            <w:noProof/>
            <w:highlight w:val="yellow"/>
          </w:rPr>
          <w:t>2.4</w:t>
        </w:r>
        <w:r w:rsidR="007F7761">
          <w:rPr>
            <w:rFonts w:asciiTheme="minorHAnsi" w:eastAsiaTheme="minorEastAsia" w:hAnsiTheme="minorHAnsi" w:cstheme="minorBidi"/>
            <w:bCs w:val="0"/>
            <w:noProof/>
            <w:szCs w:val="22"/>
            <w:lang w:eastAsia="en-GB"/>
          </w:rPr>
          <w:tab/>
        </w:r>
        <w:r w:rsidR="007F7761" w:rsidRPr="00B94A4D">
          <w:rPr>
            <w:rStyle w:val="Hyperlink"/>
            <w:noProof/>
            <w:highlight w:val="yellow"/>
          </w:rPr>
          <w:t>Glossiness of the surface:</w:t>
        </w:r>
        <w:r w:rsidR="007F7761">
          <w:rPr>
            <w:noProof/>
            <w:webHidden/>
          </w:rPr>
          <w:tab/>
        </w:r>
        <w:r>
          <w:rPr>
            <w:noProof/>
            <w:webHidden/>
          </w:rPr>
          <w:fldChar w:fldCharType="begin"/>
        </w:r>
        <w:r w:rsidR="007F7761">
          <w:rPr>
            <w:noProof/>
            <w:webHidden/>
          </w:rPr>
          <w:instrText xml:space="preserve"> PAGEREF _Toc240354402 \h </w:instrText>
        </w:r>
        <w:r>
          <w:rPr>
            <w:noProof/>
            <w:webHidden/>
          </w:rPr>
        </w:r>
        <w:r>
          <w:rPr>
            <w:noProof/>
            <w:webHidden/>
          </w:rPr>
          <w:fldChar w:fldCharType="separate"/>
        </w:r>
        <w:r w:rsidR="007F7761">
          <w:rPr>
            <w:noProof/>
            <w:webHidden/>
          </w:rPr>
          <w:t>7</w:t>
        </w:r>
        <w:r>
          <w:rPr>
            <w:noProof/>
            <w:webHidden/>
          </w:rPr>
          <w:fldChar w:fldCharType="end"/>
        </w:r>
      </w:hyperlink>
    </w:p>
    <w:p w:rsidR="007F7761" w:rsidRDefault="00612061">
      <w:pPr>
        <w:pStyle w:val="TOC1"/>
        <w:rPr>
          <w:rFonts w:asciiTheme="minorHAnsi" w:eastAsiaTheme="minorEastAsia" w:hAnsiTheme="minorHAnsi" w:cstheme="minorBidi"/>
          <w:b w:val="0"/>
          <w:bCs w:val="0"/>
          <w:caps w:val="0"/>
          <w:noProof/>
          <w:szCs w:val="22"/>
          <w:lang w:eastAsia="en-GB"/>
        </w:rPr>
      </w:pPr>
      <w:hyperlink w:anchor="_Toc240354403" w:history="1">
        <w:r w:rsidR="007F7761" w:rsidRPr="00B94A4D">
          <w:rPr>
            <w:rStyle w:val="Hyperlink"/>
            <w:noProof/>
          </w:rPr>
          <w:t>3</w:t>
        </w:r>
        <w:r w:rsidR="007F7761">
          <w:rPr>
            <w:rFonts w:asciiTheme="minorHAnsi" w:eastAsiaTheme="minorEastAsia" w:hAnsiTheme="minorHAnsi" w:cstheme="minorBidi"/>
            <w:b w:val="0"/>
            <w:bCs w:val="0"/>
            <w:caps w:val="0"/>
            <w:noProof/>
            <w:szCs w:val="22"/>
            <w:lang w:eastAsia="en-GB"/>
          </w:rPr>
          <w:tab/>
        </w:r>
        <w:r w:rsidR="007F7761" w:rsidRPr="00B94A4D">
          <w:rPr>
            <w:rStyle w:val="Hyperlink"/>
            <w:noProof/>
          </w:rPr>
          <w:t>CONSIDERATIONS OF PARTICULAR COLOURS</w:t>
        </w:r>
        <w:r w:rsidR="007F7761">
          <w:rPr>
            <w:noProof/>
            <w:webHidden/>
          </w:rPr>
          <w:tab/>
        </w:r>
        <w:r>
          <w:rPr>
            <w:noProof/>
            <w:webHidden/>
          </w:rPr>
          <w:fldChar w:fldCharType="begin"/>
        </w:r>
        <w:r w:rsidR="007F7761">
          <w:rPr>
            <w:noProof/>
            <w:webHidden/>
          </w:rPr>
          <w:instrText xml:space="preserve"> PAGEREF _Toc240354403 \h </w:instrText>
        </w:r>
        <w:r>
          <w:rPr>
            <w:noProof/>
            <w:webHidden/>
          </w:rPr>
        </w:r>
        <w:r>
          <w:rPr>
            <w:noProof/>
            <w:webHidden/>
          </w:rPr>
          <w:fldChar w:fldCharType="separate"/>
        </w:r>
        <w:r w:rsidR="007F7761">
          <w:rPr>
            <w:noProof/>
            <w:webHidden/>
          </w:rPr>
          <w:t>7</w:t>
        </w:r>
        <w:r>
          <w:rPr>
            <w:noProof/>
            <w:webHidden/>
          </w:rPr>
          <w:fldChar w:fldCharType="end"/>
        </w:r>
      </w:hyperlink>
    </w:p>
    <w:p w:rsidR="007F7761" w:rsidRDefault="00612061">
      <w:pPr>
        <w:pStyle w:val="TOC2"/>
        <w:rPr>
          <w:rFonts w:asciiTheme="minorHAnsi" w:eastAsiaTheme="minorEastAsia" w:hAnsiTheme="minorHAnsi" w:cstheme="minorBidi"/>
          <w:bCs w:val="0"/>
          <w:noProof/>
          <w:szCs w:val="22"/>
          <w:lang w:eastAsia="en-GB"/>
        </w:rPr>
      </w:pPr>
      <w:hyperlink w:anchor="_Toc240354404" w:history="1">
        <w:r w:rsidR="007F7761" w:rsidRPr="00B94A4D">
          <w:rPr>
            <w:rStyle w:val="Hyperlink"/>
            <w:noProof/>
          </w:rPr>
          <w:t>3.1</w:t>
        </w:r>
        <w:r w:rsidR="007F7761">
          <w:rPr>
            <w:rFonts w:asciiTheme="minorHAnsi" w:eastAsiaTheme="minorEastAsia" w:hAnsiTheme="minorHAnsi" w:cstheme="minorBidi"/>
            <w:bCs w:val="0"/>
            <w:noProof/>
            <w:szCs w:val="22"/>
            <w:lang w:eastAsia="en-GB"/>
          </w:rPr>
          <w:tab/>
        </w:r>
        <w:r w:rsidR="007F7761" w:rsidRPr="00B94A4D">
          <w:rPr>
            <w:rStyle w:val="Hyperlink"/>
            <w:noProof/>
          </w:rPr>
          <w:t>Red</w:t>
        </w:r>
        <w:r w:rsidR="007F7761">
          <w:rPr>
            <w:noProof/>
            <w:webHidden/>
          </w:rPr>
          <w:tab/>
        </w:r>
        <w:r>
          <w:rPr>
            <w:noProof/>
            <w:webHidden/>
          </w:rPr>
          <w:fldChar w:fldCharType="begin"/>
        </w:r>
        <w:r w:rsidR="007F7761">
          <w:rPr>
            <w:noProof/>
            <w:webHidden/>
          </w:rPr>
          <w:instrText xml:space="preserve"> PAGEREF _Toc240354404 \h </w:instrText>
        </w:r>
        <w:r>
          <w:rPr>
            <w:noProof/>
            <w:webHidden/>
          </w:rPr>
        </w:r>
        <w:r>
          <w:rPr>
            <w:noProof/>
            <w:webHidden/>
          </w:rPr>
          <w:fldChar w:fldCharType="separate"/>
        </w:r>
        <w:r w:rsidR="007F7761">
          <w:rPr>
            <w:noProof/>
            <w:webHidden/>
          </w:rPr>
          <w:t>7</w:t>
        </w:r>
        <w:r>
          <w:rPr>
            <w:noProof/>
            <w:webHidden/>
          </w:rPr>
          <w:fldChar w:fldCharType="end"/>
        </w:r>
      </w:hyperlink>
    </w:p>
    <w:p w:rsidR="007F7761" w:rsidRDefault="00612061">
      <w:pPr>
        <w:pStyle w:val="TOC2"/>
        <w:rPr>
          <w:rFonts w:asciiTheme="minorHAnsi" w:eastAsiaTheme="minorEastAsia" w:hAnsiTheme="minorHAnsi" w:cstheme="minorBidi"/>
          <w:bCs w:val="0"/>
          <w:noProof/>
          <w:szCs w:val="22"/>
          <w:lang w:eastAsia="en-GB"/>
        </w:rPr>
      </w:pPr>
      <w:hyperlink w:anchor="_Toc240354405" w:history="1">
        <w:r w:rsidR="007F7761" w:rsidRPr="00B94A4D">
          <w:rPr>
            <w:rStyle w:val="Hyperlink"/>
            <w:noProof/>
          </w:rPr>
          <w:t>3.2</w:t>
        </w:r>
        <w:r w:rsidR="007F7761">
          <w:rPr>
            <w:rFonts w:asciiTheme="minorHAnsi" w:eastAsiaTheme="minorEastAsia" w:hAnsiTheme="minorHAnsi" w:cstheme="minorBidi"/>
            <w:bCs w:val="0"/>
            <w:noProof/>
            <w:szCs w:val="22"/>
            <w:lang w:eastAsia="en-GB"/>
          </w:rPr>
          <w:tab/>
        </w:r>
        <w:r w:rsidR="007F7761" w:rsidRPr="00B94A4D">
          <w:rPr>
            <w:rStyle w:val="Hyperlink"/>
            <w:noProof/>
          </w:rPr>
          <w:t>Orange</w:t>
        </w:r>
        <w:r w:rsidR="007F7761">
          <w:rPr>
            <w:noProof/>
            <w:webHidden/>
          </w:rPr>
          <w:tab/>
        </w:r>
        <w:r>
          <w:rPr>
            <w:noProof/>
            <w:webHidden/>
          </w:rPr>
          <w:fldChar w:fldCharType="begin"/>
        </w:r>
        <w:r w:rsidR="007F7761">
          <w:rPr>
            <w:noProof/>
            <w:webHidden/>
          </w:rPr>
          <w:instrText xml:space="preserve"> PAGEREF _Toc240354405 \h </w:instrText>
        </w:r>
        <w:r>
          <w:rPr>
            <w:noProof/>
            <w:webHidden/>
          </w:rPr>
        </w:r>
        <w:r>
          <w:rPr>
            <w:noProof/>
            <w:webHidden/>
          </w:rPr>
          <w:fldChar w:fldCharType="separate"/>
        </w:r>
        <w:r w:rsidR="007F7761">
          <w:rPr>
            <w:noProof/>
            <w:webHidden/>
          </w:rPr>
          <w:t>8</w:t>
        </w:r>
        <w:r>
          <w:rPr>
            <w:noProof/>
            <w:webHidden/>
          </w:rPr>
          <w:fldChar w:fldCharType="end"/>
        </w:r>
      </w:hyperlink>
    </w:p>
    <w:p w:rsidR="007F7761" w:rsidRDefault="00612061">
      <w:pPr>
        <w:pStyle w:val="TOC2"/>
        <w:rPr>
          <w:rFonts w:asciiTheme="minorHAnsi" w:eastAsiaTheme="minorEastAsia" w:hAnsiTheme="minorHAnsi" w:cstheme="minorBidi"/>
          <w:bCs w:val="0"/>
          <w:noProof/>
          <w:szCs w:val="22"/>
          <w:lang w:eastAsia="en-GB"/>
        </w:rPr>
      </w:pPr>
      <w:hyperlink w:anchor="_Toc240354406" w:history="1">
        <w:r w:rsidR="007F7761" w:rsidRPr="00B94A4D">
          <w:rPr>
            <w:rStyle w:val="Hyperlink"/>
            <w:noProof/>
          </w:rPr>
          <w:t>3.3</w:t>
        </w:r>
        <w:r w:rsidR="007F7761">
          <w:rPr>
            <w:rFonts w:asciiTheme="minorHAnsi" w:eastAsiaTheme="minorEastAsia" w:hAnsiTheme="minorHAnsi" w:cstheme="minorBidi"/>
            <w:bCs w:val="0"/>
            <w:noProof/>
            <w:szCs w:val="22"/>
            <w:lang w:eastAsia="en-GB"/>
          </w:rPr>
          <w:tab/>
        </w:r>
        <w:r w:rsidR="007F7761" w:rsidRPr="00B94A4D">
          <w:rPr>
            <w:rStyle w:val="Hyperlink"/>
            <w:noProof/>
          </w:rPr>
          <w:t>Yellow and White</w:t>
        </w:r>
        <w:r w:rsidR="007F7761">
          <w:rPr>
            <w:noProof/>
            <w:webHidden/>
          </w:rPr>
          <w:tab/>
        </w:r>
        <w:r>
          <w:rPr>
            <w:noProof/>
            <w:webHidden/>
          </w:rPr>
          <w:fldChar w:fldCharType="begin"/>
        </w:r>
        <w:r w:rsidR="007F7761">
          <w:rPr>
            <w:noProof/>
            <w:webHidden/>
          </w:rPr>
          <w:instrText xml:space="preserve"> PAGEREF _Toc240354406 \h </w:instrText>
        </w:r>
        <w:r>
          <w:rPr>
            <w:noProof/>
            <w:webHidden/>
          </w:rPr>
        </w:r>
        <w:r>
          <w:rPr>
            <w:noProof/>
            <w:webHidden/>
          </w:rPr>
          <w:fldChar w:fldCharType="separate"/>
        </w:r>
        <w:r w:rsidR="007F7761">
          <w:rPr>
            <w:noProof/>
            <w:webHidden/>
          </w:rPr>
          <w:t>8</w:t>
        </w:r>
        <w:r>
          <w:rPr>
            <w:noProof/>
            <w:webHidden/>
          </w:rPr>
          <w:fldChar w:fldCharType="end"/>
        </w:r>
      </w:hyperlink>
    </w:p>
    <w:p w:rsidR="007F7761" w:rsidRDefault="00612061">
      <w:pPr>
        <w:pStyle w:val="TOC2"/>
        <w:rPr>
          <w:rFonts w:asciiTheme="minorHAnsi" w:eastAsiaTheme="minorEastAsia" w:hAnsiTheme="minorHAnsi" w:cstheme="minorBidi"/>
          <w:bCs w:val="0"/>
          <w:noProof/>
          <w:szCs w:val="22"/>
          <w:lang w:eastAsia="en-GB"/>
        </w:rPr>
      </w:pPr>
      <w:hyperlink w:anchor="_Toc240354407" w:history="1">
        <w:r w:rsidR="007F7761" w:rsidRPr="00B94A4D">
          <w:rPr>
            <w:rStyle w:val="Hyperlink"/>
            <w:noProof/>
          </w:rPr>
          <w:t>3.4</w:t>
        </w:r>
        <w:r w:rsidR="007F7761">
          <w:rPr>
            <w:rFonts w:asciiTheme="minorHAnsi" w:eastAsiaTheme="minorEastAsia" w:hAnsiTheme="minorHAnsi" w:cstheme="minorBidi"/>
            <w:bCs w:val="0"/>
            <w:noProof/>
            <w:szCs w:val="22"/>
            <w:lang w:eastAsia="en-GB"/>
          </w:rPr>
          <w:tab/>
        </w:r>
        <w:r w:rsidR="007F7761" w:rsidRPr="00B94A4D">
          <w:rPr>
            <w:rStyle w:val="Hyperlink"/>
            <w:noProof/>
          </w:rPr>
          <w:t>Green</w:t>
        </w:r>
        <w:r w:rsidR="007F7761">
          <w:rPr>
            <w:noProof/>
            <w:webHidden/>
          </w:rPr>
          <w:tab/>
        </w:r>
        <w:r>
          <w:rPr>
            <w:noProof/>
            <w:webHidden/>
          </w:rPr>
          <w:fldChar w:fldCharType="begin"/>
        </w:r>
        <w:r w:rsidR="007F7761">
          <w:rPr>
            <w:noProof/>
            <w:webHidden/>
          </w:rPr>
          <w:instrText xml:space="preserve"> PAGEREF _Toc240354407 \h </w:instrText>
        </w:r>
        <w:r>
          <w:rPr>
            <w:noProof/>
            <w:webHidden/>
          </w:rPr>
        </w:r>
        <w:r>
          <w:rPr>
            <w:noProof/>
            <w:webHidden/>
          </w:rPr>
          <w:fldChar w:fldCharType="separate"/>
        </w:r>
        <w:r w:rsidR="007F7761">
          <w:rPr>
            <w:noProof/>
            <w:webHidden/>
          </w:rPr>
          <w:t>8</w:t>
        </w:r>
        <w:r>
          <w:rPr>
            <w:noProof/>
            <w:webHidden/>
          </w:rPr>
          <w:fldChar w:fldCharType="end"/>
        </w:r>
      </w:hyperlink>
    </w:p>
    <w:p w:rsidR="007F7761" w:rsidRDefault="00612061">
      <w:pPr>
        <w:pStyle w:val="TOC2"/>
        <w:rPr>
          <w:rFonts w:asciiTheme="minorHAnsi" w:eastAsiaTheme="minorEastAsia" w:hAnsiTheme="minorHAnsi" w:cstheme="minorBidi"/>
          <w:bCs w:val="0"/>
          <w:noProof/>
          <w:szCs w:val="22"/>
          <w:lang w:eastAsia="en-GB"/>
        </w:rPr>
      </w:pPr>
      <w:hyperlink w:anchor="_Toc240354408" w:history="1">
        <w:r w:rsidR="007F7761" w:rsidRPr="00B94A4D">
          <w:rPr>
            <w:rStyle w:val="Hyperlink"/>
            <w:noProof/>
          </w:rPr>
          <w:t>3.5</w:t>
        </w:r>
        <w:r w:rsidR="007F7761">
          <w:rPr>
            <w:rFonts w:asciiTheme="minorHAnsi" w:eastAsiaTheme="minorEastAsia" w:hAnsiTheme="minorHAnsi" w:cstheme="minorBidi"/>
            <w:bCs w:val="0"/>
            <w:noProof/>
            <w:szCs w:val="22"/>
            <w:lang w:eastAsia="en-GB"/>
          </w:rPr>
          <w:tab/>
        </w:r>
        <w:r w:rsidR="007F7761" w:rsidRPr="00B94A4D">
          <w:rPr>
            <w:rStyle w:val="Hyperlink"/>
            <w:noProof/>
          </w:rPr>
          <w:t>Blue</w:t>
        </w:r>
        <w:r w:rsidR="007F7761">
          <w:rPr>
            <w:noProof/>
            <w:webHidden/>
          </w:rPr>
          <w:tab/>
        </w:r>
        <w:r>
          <w:rPr>
            <w:noProof/>
            <w:webHidden/>
          </w:rPr>
          <w:fldChar w:fldCharType="begin"/>
        </w:r>
        <w:r w:rsidR="007F7761">
          <w:rPr>
            <w:noProof/>
            <w:webHidden/>
          </w:rPr>
          <w:instrText xml:space="preserve"> PAGEREF _Toc240354408 \h </w:instrText>
        </w:r>
        <w:r>
          <w:rPr>
            <w:noProof/>
            <w:webHidden/>
          </w:rPr>
        </w:r>
        <w:r>
          <w:rPr>
            <w:noProof/>
            <w:webHidden/>
          </w:rPr>
          <w:fldChar w:fldCharType="separate"/>
        </w:r>
        <w:r w:rsidR="007F7761">
          <w:rPr>
            <w:noProof/>
            <w:webHidden/>
          </w:rPr>
          <w:t>8</w:t>
        </w:r>
        <w:r>
          <w:rPr>
            <w:noProof/>
            <w:webHidden/>
          </w:rPr>
          <w:fldChar w:fldCharType="end"/>
        </w:r>
      </w:hyperlink>
    </w:p>
    <w:p w:rsidR="007F7761" w:rsidRDefault="00612061">
      <w:pPr>
        <w:pStyle w:val="TOC2"/>
        <w:rPr>
          <w:rFonts w:asciiTheme="minorHAnsi" w:eastAsiaTheme="minorEastAsia" w:hAnsiTheme="minorHAnsi" w:cstheme="minorBidi"/>
          <w:bCs w:val="0"/>
          <w:noProof/>
          <w:szCs w:val="22"/>
          <w:lang w:eastAsia="en-GB"/>
        </w:rPr>
      </w:pPr>
      <w:hyperlink w:anchor="_Toc240354409" w:history="1">
        <w:r w:rsidR="007F7761" w:rsidRPr="00B94A4D">
          <w:rPr>
            <w:rStyle w:val="Hyperlink"/>
            <w:noProof/>
          </w:rPr>
          <w:t>3.6</w:t>
        </w:r>
        <w:r w:rsidR="007F7761">
          <w:rPr>
            <w:rFonts w:asciiTheme="minorHAnsi" w:eastAsiaTheme="minorEastAsia" w:hAnsiTheme="minorHAnsi" w:cstheme="minorBidi"/>
            <w:bCs w:val="0"/>
            <w:noProof/>
            <w:szCs w:val="22"/>
            <w:lang w:eastAsia="en-GB"/>
          </w:rPr>
          <w:tab/>
        </w:r>
        <w:r w:rsidR="007F7761" w:rsidRPr="00B94A4D">
          <w:rPr>
            <w:rStyle w:val="Hyperlink"/>
            <w:noProof/>
          </w:rPr>
          <w:t>Black</w:t>
        </w:r>
        <w:r w:rsidR="007F7761">
          <w:rPr>
            <w:noProof/>
            <w:webHidden/>
          </w:rPr>
          <w:tab/>
        </w:r>
        <w:r>
          <w:rPr>
            <w:noProof/>
            <w:webHidden/>
          </w:rPr>
          <w:fldChar w:fldCharType="begin"/>
        </w:r>
        <w:r w:rsidR="007F7761">
          <w:rPr>
            <w:noProof/>
            <w:webHidden/>
          </w:rPr>
          <w:instrText xml:space="preserve"> PAGEREF _Toc240354409 \h </w:instrText>
        </w:r>
        <w:r>
          <w:rPr>
            <w:noProof/>
            <w:webHidden/>
          </w:rPr>
        </w:r>
        <w:r>
          <w:rPr>
            <w:noProof/>
            <w:webHidden/>
          </w:rPr>
          <w:fldChar w:fldCharType="separate"/>
        </w:r>
        <w:r w:rsidR="007F7761">
          <w:rPr>
            <w:noProof/>
            <w:webHidden/>
          </w:rPr>
          <w:t>9</w:t>
        </w:r>
        <w:r>
          <w:rPr>
            <w:noProof/>
            <w:webHidden/>
          </w:rPr>
          <w:fldChar w:fldCharType="end"/>
        </w:r>
      </w:hyperlink>
    </w:p>
    <w:p w:rsidR="007F7761" w:rsidRDefault="00612061">
      <w:pPr>
        <w:pStyle w:val="TOC1"/>
        <w:rPr>
          <w:rFonts w:asciiTheme="minorHAnsi" w:eastAsiaTheme="minorEastAsia" w:hAnsiTheme="minorHAnsi" w:cstheme="minorBidi"/>
          <w:b w:val="0"/>
          <w:bCs w:val="0"/>
          <w:caps w:val="0"/>
          <w:noProof/>
          <w:szCs w:val="22"/>
          <w:lang w:eastAsia="en-GB"/>
        </w:rPr>
      </w:pPr>
      <w:hyperlink w:anchor="_Toc240354410" w:history="1">
        <w:r w:rsidR="007F7761" w:rsidRPr="00B94A4D">
          <w:rPr>
            <w:rStyle w:val="Hyperlink"/>
            <w:noProof/>
          </w:rPr>
          <w:t>4</w:t>
        </w:r>
        <w:r w:rsidR="007F7761">
          <w:rPr>
            <w:rFonts w:asciiTheme="minorHAnsi" w:eastAsiaTheme="minorEastAsia" w:hAnsiTheme="minorHAnsi" w:cstheme="minorBidi"/>
            <w:b w:val="0"/>
            <w:bCs w:val="0"/>
            <w:caps w:val="0"/>
            <w:noProof/>
            <w:szCs w:val="22"/>
            <w:lang w:eastAsia="en-GB"/>
          </w:rPr>
          <w:tab/>
        </w:r>
        <w:r w:rsidR="007F7761" w:rsidRPr="00B94A4D">
          <w:rPr>
            <w:rStyle w:val="Hyperlink"/>
            <w:noProof/>
          </w:rPr>
          <w:t>SYMBOLS AND ALPHANUMERIC CHARACTERS</w:t>
        </w:r>
        <w:r w:rsidR="007F7761">
          <w:rPr>
            <w:noProof/>
            <w:webHidden/>
          </w:rPr>
          <w:tab/>
        </w:r>
        <w:r>
          <w:rPr>
            <w:noProof/>
            <w:webHidden/>
          </w:rPr>
          <w:fldChar w:fldCharType="begin"/>
        </w:r>
        <w:r w:rsidR="007F7761">
          <w:rPr>
            <w:noProof/>
            <w:webHidden/>
          </w:rPr>
          <w:instrText xml:space="preserve"> PAGEREF _Toc240354410 \h </w:instrText>
        </w:r>
        <w:r>
          <w:rPr>
            <w:noProof/>
            <w:webHidden/>
          </w:rPr>
        </w:r>
        <w:r>
          <w:rPr>
            <w:noProof/>
            <w:webHidden/>
          </w:rPr>
          <w:fldChar w:fldCharType="separate"/>
        </w:r>
        <w:r w:rsidR="007F7761">
          <w:rPr>
            <w:noProof/>
            <w:webHidden/>
          </w:rPr>
          <w:t>9</w:t>
        </w:r>
        <w:r>
          <w:rPr>
            <w:noProof/>
            <w:webHidden/>
          </w:rPr>
          <w:fldChar w:fldCharType="end"/>
        </w:r>
      </w:hyperlink>
    </w:p>
    <w:p w:rsidR="007F7761" w:rsidRDefault="00612061">
      <w:pPr>
        <w:pStyle w:val="TOC1"/>
        <w:rPr>
          <w:rFonts w:asciiTheme="minorHAnsi" w:eastAsiaTheme="minorEastAsia" w:hAnsiTheme="minorHAnsi" w:cstheme="minorBidi"/>
          <w:b w:val="0"/>
          <w:bCs w:val="0"/>
          <w:caps w:val="0"/>
          <w:noProof/>
          <w:szCs w:val="22"/>
          <w:lang w:eastAsia="en-GB"/>
        </w:rPr>
      </w:pPr>
      <w:hyperlink w:anchor="_Toc240354411" w:history="1">
        <w:r w:rsidR="007F7761" w:rsidRPr="00B94A4D">
          <w:rPr>
            <w:rStyle w:val="Hyperlink"/>
            <w:noProof/>
          </w:rPr>
          <w:t>5</w:t>
        </w:r>
        <w:r w:rsidR="007F7761">
          <w:rPr>
            <w:rFonts w:asciiTheme="minorHAnsi" w:eastAsiaTheme="minorEastAsia" w:hAnsiTheme="minorHAnsi" w:cstheme="minorBidi"/>
            <w:b w:val="0"/>
            <w:bCs w:val="0"/>
            <w:caps w:val="0"/>
            <w:noProof/>
            <w:szCs w:val="22"/>
            <w:lang w:eastAsia="en-GB"/>
          </w:rPr>
          <w:tab/>
        </w:r>
        <w:r w:rsidR="007F7761" w:rsidRPr="00B94A4D">
          <w:rPr>
            <w:rStyle w:val="Hyperlink"/>
            <w:noProof/>
          </w:rPr>
          <w:t>COLOURS OF RETROREFLECTING MATERIALS</w:t>
        </w:r>
        <w:r w:rsidR="007F7761">
          <w:rPr>
            <w:noProof/>
            <w:webHidden/>
          </w:rPr>
          <w:tab/>
        </w:r>
        <w:r>
          <w:rPr>
            <w:noProof/>
            <w:webHidden/>
          </w:rPr>
          <w:fldChar w:fldCharType="begin"/>
        </w:r>
        <w:r w:rsidR="007F7761">
          <w:rPr>
            <w:noProof/>
            <w:webHidden/>
          </w:rPr>
          <w:instrText xml:space="preserve"> PAGEREF _Toc240354411 \h </w:instrText>
        </w:r>
        <w:r>
          <w:rPr>
            <w:noProof/>
            <w:webHidden/>
          </w:rPr>
        </w:r>
        <w:r>
          <w:rPr>
            <w:noProof/>
            <w:webHidden/>
          </w:rPr>
          <w:fldChar w:fldCharType="separate"/>
        </w:r>
        <w:r w:rsidR="007F7761">
          <w:rPr>
            <w:noProof/>
            <w:webHidden/>
          </w:rPr>
          <w:t>9</w:t>
        </w:r>
        <w:r>
          <w:rPr>
            <w:noProof/>
            <w:webHidden/>
          </w:rPr>
          <w:fldChar w:fldCharType="end"/>
        </w:r>
      </w:hyperlink>
    </w:p>
    <w:p w:rsidR="007F7761" w:rsidRDefault="00612061">
      <w:pPr>
        <w:pStyle w:val="TOC1"/>
        <w:rPr>
          <w:rFonts w:asciiTheme="minorHAnsi" w:eastAsiaTheme="minorEastAsia" w:hAnsiTheme="minorHAnsi" w:cstheme="minorBidi"/>
          <w:b w:val="0"/>
          <w:bCs w:val="0"/>
          <w:caps w:val="0"/>
          <w:noProof/>
          <w:szCs w:val="22"/>
          <w:lang w:eastAsia="en-GB"/>
        </w:rPr>
      </w:pPr>
      <w:hyperlink w:anchor="_Toc240354412" w:history="1">
        <w:r w:rsidR="007F7761" w:rsidRPr="00B94A4D">
          <w:rPr>
            <w:rStyle w:val="Hyperlink"/>
            <w:noProof/>
          </w:rPr>
          <w:t>6</w:t>
        </w:r>
        <w:r w:rsidR="007F7761">
          <w:rPr>
            <w:rFonts w:asciiTheme="minorHAnsi" w:eastAsiaTheme="minorEastAsia" w:hAnsiTheme="minorHAnsi" w:cstheme="minorBidi"/>
            <w:b w:val="0"/>
            <w:bCs w:val="0"/>
            <w:caps w:val="0"/>
            <w:noProof/>
            <w:szCs w:val="22"/>
            <w:lang w:eastAsia="en-GB"/>
          </w:rPr>
          <w:tab/>
        </w:r>
        <w:r w:rsidR="007F7761" w:rsidRPr="00B94A4D">
          <w:rPr>
            <w:rStyle w:val="Hyperlink"/>
            <w:noProof/>
            <w:highlight w:val="yellow"/>
          </w:rPr>
          <w:t>Colour Collections</w:t>
        </w:r>
        <w:r w:rsidR="007F7761">
          <w:rPr>
            <w:noProof/>
            <w:webHidden/>
          </w:rPr>
          <w:tab/>
        </w:r>
        <w:r>
          <w:rPr>
            <w:noProof/>
            <w:webHidden/>
          </w:rPr>
          <w:fldChar w:fldCharType="begin"/>
        </w:r>
        <w:r w:rsidR="007F7761">
          <w:rPr>
            <w:noProof/>
            <w:webHidden/>
          </w:rPr>
          <w:instrText xml:space="preserve"> PAGEREF _Toc240354412 \h </w:instrText>
        </w:r>
        <w:r>
          <w:rPr>
            <w:noProof/>
            <w:webHidden/>
          </w:rPr>
        </w:r>
        <w:r>
          <w:rPr>
            <w:noProof/>
            <w:webHidden/>
          </w:rPr>
          <w:fldChar w:fldCharType="separate"/>
        </w:r>
        <w:r w:rsidR="007F7761">
          <w:rPr>
            <w:noProof/>
            <w:webHidden/>
          </w:rPr>
          <w:t>13</w:t>
        </w:r>
        <w:r>
          <w:rPr>
            <w:noProof/>
            <w:webHidden/>
          </w:rPr>
          <w:fldChar w:fldCharType="end"/>
        </w:r>
      </w:hyperlink>
    </w:p>
    <w:p w:rsidR="007F7761" w:rsidRDefault="00612061">
      <w:pPr>
        <w:pStyle w:val="TOC2"/>
        <w:rPr>
          <w:rFonts w:asciiTheme="minorHAnsi" w:eastAsiaTheme="minorEastAsia" w:hAnsiTheme="minorHAnsi" w:cstheme="minorBidi"/>
          <w:bCs w:val="0"/>
          <w:noProof/>
          <w:szCs w:val="22"/>
          <w:lang w:eastAsia="en-GB"/>
        </w:rPr>
      </w:pPr>
      <w:hyperlink w:anchor="_Toc240354413" w:history="1">
        <w:r w:rsidR="007F7761" w:rsidRPr="00B94A4D">
          <w:rPr>
            <w:rStyle w:val="Hyperlink"/>
            <w:noProof/>
            <w:highlight w:val="yellow"/>
          </w:rPr>
          <w:t>6.1</w:t>
        </w:r>
        <w:r w:rsidR="007F7761">
          <w:rPr>
            <w:rFonts w:asciiTheme="minorHAnsi" w:eastAsiaTheme="minorEastAsia" w:hAnsiTheme="minorHAnsi" w:cstheme="minorBidi"/>
            <w:bCs w:val="0"/>
            <w:noProof/>
            <w:szCs w:val="22"/>
            <w:lang w:eastAsia="en-GB"/>
          </w:rPr>
          <w:tab/>
        </w:r>
        <w:r w:rsidR="007F7761" w:rsidRPr="00B94A4D">
          <w:rPr>
            <w:rStyle w:val="Hyperlink"/>
            <w:noProof/>
            <w:highlight w:val="yellow"/>
          </w:rPr>
          <w:t>RAL CLASSIC Colour Collection</w:t>
        </w:r>
        <w:r w:rsidR="007F7761">
          <w:rPr>
            <w:noProof/>
            <w:webHidden/>
          </w:rPr>
          <w:tab/>
        </w:r>
        <w:r>
          <w:rPr>
            <w:noProof/>
            <w:webHidden/>
          </w:rPr>
          <w:fldChar w:fldCharType="begin"/>
        </w:r>
        <w:r w:rsidR="007F7761">
          <w:rPr>
            <w:noProof/>
            <w:webHidden/>
          </w:rPr>
          <w:instrText xml:space="preserve"> PAGEREF _Toc240354413 \h </w:instrText>
        </w:r>
        <w:r>
          <w:rPr>
            <w:noProof/>
            <w:webHidden/>
          </w:rPr>
        </w:r>
        <w:r>
          <w:rPr>
            <w:noProof/>
            <w:webHidden/>
          </w:rPr>
          <w:fldChar w:fldCharType="separate"/>
        </w:r>
        <w:r w:rsidR="007F7761">
          <w:rPr>
            <w:noProof/>
            <w:webHidden/>
          </w:rPr>
          <w:t>14</w:t>
        </w:r>
        <w:r>
          <w:rPr>
            <w:noProof/>
            <w:webHidden/>
          </w:rPr>
          <w:fldChar w:fldCharType="end"/>
        </w:r>
      </w:hyperlink>
    </w:p>
    <w:p w:rsidR="007F7761" w:rsidRDefault="00612061">
      <w:pPr>
        <w:pStyle w:val="TOC3"/>
        <w:rPr>
          <w:rFonts w:asciiTheme="minorHAnsi" w:eastAsiaTheme="minorEastAsia" w:hAnsiTheme="minorHAnsi" w:cstheme="minorBidi"/>
          <w:noProof/>
          <w:sz w:val="22"/>
          <w:szCs w:val="22"/>
          <w:lang w:eastAsia="en-GB"/>
        </w:rPr>
      </w:pPr>
      <w:hyperlink w:anchor="_Toc240354414" w:history="1">
        <w:r w:rsidR="007F7761" w:rsidRPr="00B94A4D">
          <w:rPr>
            <w:rStyle w:val="Hyperlink"/>
            <w:noProof/>
            <w:highlight w:val="yellow"/>
          </w:rPr>
          <w:t>6.1.1</w:t>
        </w:r>
        <w:r w:rsidR="007F7761">
          <w:rPr>
            <w:rFonts w:asciiTheme="minorHAnsi" w:eastAsiaTheme="minorEastAsia" w:hAnsiTheme="minorHAnsi" w:cstheme="minorBidi"/>
            <w:noProof/>
            <w:sz w:val="22"/>
            <w:szCs w:val="22"/>
            <w:lang w:eastAsia="en-GB"/>
          </w:rPr>
          <w:tab/>
        </w:r>
        <w:r w:rsidR="007F7761" w:rsidRPr="00B94A4D">
          <w:rPr>
            <w:rStyle w:val="Hyperlink"/>
            <w:noProof/>
            <w:highlight w:val="yellow"/>
          </w:rPr>
          <w:t>Ordinary Colours</w:t>
        </w:r>
        <w:r w:rsidR="007F7761">
          <w:rPr>
            <w:noProof/>
            <w:webHidden/>
          </w:rPr>
          <w:tab/>
        </w:r>
        <w:r>
          <w:rPr>
            <w:noProof/>
            <w:webHidden/>
          </w:rPr>
          <w:fldChar w:fldCharType="begin"/>
        </w:r>
        <w:r w:rsidR="007F7761">
          <w:rPr>
            <w:noProof/>
            <w:webHidden/>
          </w:rPr>
          <w:instrText xml:space="preserve"> PAGEREF _Toc240354414 \h </w:instrText>
        </w:r>
        <w:r>
          <w:rPr>
            <w:noProof/>
            <w:webHidden/>
          </w:rPr>
        </w:r>
        <w:r>
          <w:rPr>
            <w:noProof/>
            <w:webHidden/>
          </w:rPr>
          <w:fldChar w:fldCharType="separate"/>
        </w:r>
        <w:r w:rsidR="007F7761">
          <w:rPr>
            <w:noProof/>
            <w:webHidden/>
          </w:rPr>
          <w:t>14</w:t>
        </w:r>
        <w:r>
          <w:rPr>
            <w:noProof/>
            <w:webHidden/>
          </w:rPr>
          <w:fldChar w:fldCharType="end"/>
        </w:r>
      </w:hyperlink>
    </w:p>
    <w:p w:rsidR="007F7761" w:rsidRDefault="00612061">
      <w:pPr>
        <w:pStyle w:val="TOC3"/>
        <w:rPr>
          <w:rFonts w:asciiTheme="minorHAnsi" w:eastAsiaTheme="minorEastAsia" w:hAnsiTheme="minorHAnsi" w:cstheme="minorBidi"/>
          <w:noProof/>
          <w:sz w:val="22"/>
          <w:szCs w:val="22"/>
          <w:lang w:eastAsia="en-GB"/>
        </w:rPr>
      </w:pPr>
      <w:hyperlink w:anchor="_Toc240354415" w:history="1">
        <w:r w:rsidR="007F7761" w:rsidRPr="00B94A4D">
          <w:rPr>
            <w:rStyle w:val="Hyperlink"/>
            <w:noProof/>
            <w:highlight w:val="yellow"/>
          </w:rPr>
          <w:t>6.1.2</w:t>
        </w:r>
        <w:r w:rsidR="007F7761">
          <w:rPr>
            <w:rFonts w:asciiTheme="minorHAnsi" w:eastAsiaTheme="minorEastAsia" w:hAnsiTheme="minorHAnsi" w:cstheme="minorBidi"/>
            <w:noProof/>
            <w:sz w:val="22"/>
            <w:szCs w:val="22"/>
            <w:lang w:eastAsia="en-GB"/>
          </w:rPr>
          <w:tab/>
        </w:r>
        <w:r w:rsidR="007F7761" w:rsidRPr="00B94A4D">
          <w:rPr>
            <w:rStyle w:val="Hyperlink"/>
            <w:noProof/>
            <w:highlight w:val="yellow"/>
          </w:rPr>
          <w:t>Fluorescent Colours</w:t>
        </w:r>
        <w:r w:rsidR="007F7761">
          <w:rPr>
            <w:noProof/>
            <w:webHidden/>
          </w:rPr>
          <w:tab/>
        </w:r>
        <w:r>
          <w:rPr>
            <w:noProof/>
            <w:webHidden/>
          </w:rPr>
          <w:fldChar w:fldCharType="begin"/>
        </w:r>
        <w:r w:rsidR="007F7761">
          <w:rPr>
            <w:noProof/>
            <w:webHidden/>
          </w:rPr>
          <w:instrText xml:space="preserve"> PAGEREF _Toc240354415 \h </w:instrText>
        </w:r>
        <w:r>
          <w:rPr>
            <w:noProof/>
            <w:webHidden/>
          </w:rPr>
        </w:r>
        <w:r>
          <w:rPr>
            <w:noProof/>
            <w:webHidden/>
          </w:rPr>
          <w:fldChar w:fldCharType="separate"/>
        </w:r>
        <w:r w:rsidR="007F7761">
          <w:rPr>
            <w:noProof/>
            <w:webHidden/>
          </w:rPr>
          <w:t>14</w:t>
        </w:r>
        <w:r>
          <w:rPr>
            <w:noProof/>
            <w:webHidden/>
          </w:rPr>
          <w:fldChar w:fldCharType="end"/>
        </w:r>
      </w:hyperlink>
    </w:p>
    <w:p w:rsidR="007F7761" w:rsidRDefault="00612061">
      <w:pPr>
        <w:pStyle w:val="TOC2"/>
        <w:rPr>
          <w:rFonts w:asciiTheme="minorHAnsi" w:eastAsiaTheme="minorEastAsia" w:hAnsiTheme="minorHAnsi" w:cstheme="minorBidi"/>
          <w:bCs w:val="0"/>
          <w:noProof/>
          <w:szCs w:val="22"/>
          <w:lang w:eastAsia="en-GB"/>
        </w:rPr>
      </w:pPr>
      <w:hyperlink w:anchor="_Toc240354416" w:history="1">
        <w:r w:rsidR="007F7761" w:rsidRPr="00B94A4D">
          <w:rPr>
            <w:rStyle w:val="Hyperlink"/>
            <w:noProof/>
            <w:highlight w:val="yellow"/>
          </w:rPr>
          <w:t>6.2</w:t>
        </w:r>
        <w:r w:rsidR="007F7761">
          <w:rPr>
            <w:rFonts w:asciiTheme="minorHAnsi" w:eastAsiaTheme="minorEastAsia" w:hAnsiTheme="minorHAnsi" w:cstheme="minorBidi"/>
            <w:bCs w:val="0"/>
            <w:noProof/>
            <w:szCs w:val="22"/>
            <w:lang w:eastAsia="en-GB"/>
          </w:rPr>
          <w:tab/>
        </w:r>
        <w:r w:rsidR="007F7761" w:rsidRPr="00B94A4D">
          <w:rPr>
            <w:rStyle w:val="Hyperlink"/>
            <w:noProof/>
            <w:highlight w:val="yellow"/>
          </w:rPr>
          <w:t>Recommended NCS Colour Numbers</w:t>
        </w:r>
        <w:r w:rsidR="007F7761">
          <w:rPr>
            <w:noProof/>
            <w:webHidden/>
          </w:rPr>
          <w:tab/>
        </w:r>
        <w:r>
          <w:rPr>
            <w:noProof/>
            <w:webHidden/>
          </w:rPr>
          <w:fldChar w:fldCharType="begin"/>
        </w:r>
        <w:r w:rsidR="007F7761">
          <w:rPr>
            <w:noProof/>
            <w:webHidden/>
          </w:rPr>
          <w:instrText xml:space="preserve"> PAGEREF _Toc240354416 \h </w:instrText>
        </w:r>
        <w:r>
          <w:rPr>
            <w:noProof/>
            <w:webHidden/>
          </w:rPr>
        </w:r>
        <w:r>
          <w:rPr>
            <w:noProof/>
            <w:webHidden/>
          </w:rPr>
          <w:fldChar w:fldCharType="separate"/>
        </w:r>
        <w:r w:rsidR="007F7761">
          <w:rPr>
            <w:noProof/>
            <w:webHidden/>
          </w:rPr>
          <w:t>14</w:t>
        </w:r>
        <w:r>
          <w:rPr>
            <w:noProof/>
            <w:webHidden/>
          </w:rPr>
          <w:fldChar w:fldCharType="end"/>
        </w:r>
      </w:hyperlink>
    </w:p>
    <w:p w:rsidR="007F7761" w:rsidRDefault="00612061">
      <w:pPr>
        <w:pStyle w:val="TOC1"/>
        <w:rPr>
          <w:rFonts w:asciiTheme="minorHAnsi" w:eastAsiaTheme="minorEastAsia" w:hAnsiTheme="minorHAnsi" w:cstheme="minorBidi"/>
          <w:b w:val="0"/>
          <w:bCs w:val="0"/>
          <w:caps w:val="0"/>
          <w:noProof/>
          <w:szCs w:val="22"/>
          <w:lang w:eastAsia="en-GB"/>
        </w:rPr>
      </w:pPr>
      <w:hyperlink w:anchor="_Toc240354417" w:history="1">
        <w:r w:rsidR="007F7761" w:rsidRPr="00B94A4D">
          <w:rPr>
            <w:rStyle w:val="Hyperlink"/>
            <w:noProof/>
          </w:rPr>
          <w:t>7</w:t>
        </w:r>
        <w:r w:rsidR="007F7761">
          <w:rPr>
            <w:rFonts w:asciiTheme="minorHAnsi" w:eastAsiaTheme="minorEastAsia" w:hAnsiTheme="minorHAnsi" w:cstheme="minorBidi"/>
            <w:b w:val="0"/>
            <w:bCs w:val="0"/>
            <w:caps w:val="0"/>
            <w:noProof/>
            <w:szCs w:val="22"/>
            <w:lang w:eastAsia="en-GB"/>
          </w:rPr>
          <w:tab/>
        </w:r>
        <w:r w:rsidR="007F7761" w:rsidRPr="00B94A4D">
          <w:rPr>
            <w:rStyle w:val="Hyperlink"/>
            <w:noProof/>
          </w:rPr>
          <w:t>References</w:t>
        </w:r>
        <w:r w:rsidR="007F7761">
          <w:rPr>
            <w:noProof/>
            <w:webHidden/>
          </w:rPr>
          <w:tab/>
        </w:r>
        <w:r>
          <w:rPr>
            <w:noProof/>
            <w:webHidden/>
          </w:rPr>
          <w:fldChar w:fldCharType="begin"/>
        </w:r>
        <w:r w:rsidR="007F7761">
          <w:rPr>
            <w:noProof/>
            <w:webHidden/>
          </w:rPr>
          <w:instrText xml:space="preserve"> PAGEREF _Toc240354417 \h </w:instrText>
        </w:r>
        <w:r>
          <w:rPr>
            <w:noProof/>
            <w:webHidden/>
          </w:rPr>
        </w:r>
        <w:r>
          <w:rPr>
            <w:noProof/>
            <w:webHidden/>
          </w:rPr>
          <w:fldChar w:fldCharType="separate"/>
        </w:r>
        <w:r w:rsidR="007F7761">
          <w:rPr>
            <w:noProof/>
            <w:webHidden/>
          </w:rPr>
          <w:t>15</w:t>
        </w:r>
        <w:r>
          <w:rPr>
            <w:noProof/>
            <w:webHidden/>
          </w:rPr>
          <w:fldChar w:fldCharType="end"/>
        </w:r>
      </w:hyperlink>
    </w:p>
    <w:p w:rsidR="007F7761" w:rsidRDefault="00612061">
      <w:pPr>
        <w:pStyle w:val="TOC2"/>
        <w:rPr>
          <w:rFonts w:asciiTheme="minorHAnsi" w:eastAsiaTheme="minorEastAsia" w:hAnsiTheme="minorHAnsi" w:cstheme="minorBidi"/>
          <w:bCs w:val="0"/>
          <w:noProof/>
          <w:szCs w:val="22"/>
          <w:lang w:eastAsia="en-GB"/>
        </w:rPr>
      </w:pPr>
      <w:hyperlink w:anchor="_Toc240354418" w:history="1">
        <w:r w:rsidR="007F7761" w:rsidRPr="00B94A4D">
          <w:rPr>
            <w:rStyle w:val="Hyperlink"/>
            <w:noProof/>
          </w:rPr>
          <w:t>7.1</w:t>
        </w:r>
        <w:r w:rsidR="007F7761">
          <w:rPr>
            <w:rFonts w:asciiTheme="minorHAnsi" w:eastAsiaTheme="minorEastAsia" w:hAnsiTheme="minorHAnsi" w:cstheme="minorBidi"/>
            <w:bCs w:val="0"/>
            <w:noProof/>
            <w:szCs w:val="22"/>
            <w:lang w:eastAsia="en-GB"/>
          </w:rPr>
          <w:tab/>
        </w:r>
        <w:r w:rsidR="007F7761" w:rsidRPr="00B94A4D">
          <w:rPr>
            <w:rStyle w:val="Hyperlink"/>
            <w:noProof/>
          </w:rPr>
          <w:t>English</w:t>
        </w:r>
        <w:r w:rsidR="007F7761">
          <w:rPr>
            <w:noProof/>
            <w:webHidden/>
          </w:rPr>
          <w:tab/>
        </w:r>
        <w:r>
          <w:rPr>
            <w:noProof/>
            <w:webHidden/>
          </w:rPr>
          <w:fldChar w:fldCharType="begin"/>
        </w:r>
        <w:r w:rsidR="007F7761">
          <w:rPr>
            <w:noProof/>
            <w:webHidden/>
          </w:rPr>
          <w:instrText xml:space="preserve"> PAGEREF _Toc240354418 \h </w:instrText>
        </w:r>
        <w:r>
          <w:rPr>
            <w:noProof/>
            <w:webHidden/>
          </w:rPr>
        </w:r>
        <w:r>
          <w:rPr>
            <w:noProof/>
            <w:webHidden/>
          </w:rPr>
          <w:fldChar w:fldCharType="separate"/>
        </w:r>
        <w:r w:rsidR="007F7761">
          <w:rPr>
            <w:noProof/>
            <w:webHidden/>
          </w:rPr>
          <w:t>15</w:t>
        </w:r>
        <w:r>
          <w:rPr>
            <w:noProof/>
            <w:webHidden/>
          </w:rPr>
          <w:fldChar w:fldCharType="end"/>
        </w:r>
      </w:hyperlink>
    </w:p>
    <w:p w:rsidR="007F7761" w:rsidRDefault="00612061">
      <w:pPr>
        <w:pStyle w:val="TOC2"/>
        <w:rPr>
          <w:rFonts w:asciiTheme="minorHAnsi" w:eastAsiaTheme="minorEastAsia" w:hAnsiTheme="minorHAnsi" w:cstheme="minorBidi"/>
          <w:bCs w:val="0"/>
          <w:noProof/>
          <w:szCs w:val="22"/>
          <w:lang w:eastAsia="en-GB"/>
        </w:rPr>
      </w:pPr>
      <w:hyperlink w:anchor="_Toc240354419" w:history="1">
        <w:r w:rsidR="007F7761" w:rsidRPr="00B94A4D">
          <w:rPr>
            <w:rStyle w:val="Hyperlink"/>
            <w:noProof/>
          </w:rPr>
          <w:t>7.2</w:t>
        </w:r>
        <w:r w:rsidR="007F7761">
          <w:rPr>
            <w:rFonts w:asciiTheme="minorHAnsi" w:eastAsiaTheme="minorEastAsia" w:hAnsiTheme="minorHAnsi" w:cstheme="minorBidi"/>
            <w:bCs w:val="0"/>
            <w:noProof/>
            <w:szCs w:val="22"/>
            <w:lang w:eastAsia="en-GB"/>
          </w:rPr>
          <w:tab/>
        </w:r>
        <w:r w:rsidR="007F7761" w:rsidRPr="00B94A4D">
          <w:rPr>
            <w:rStyle w:val="Hyperlink"/>
            <w:noProof/>
          </w:rPr>
          <w:t>French</w:t>
        </w:r>
        <w:r w:rsidR="007F7761">
          <w:rPr>
            <w:noProof/>
            <w:webHidden/>
          </w:rPr>
          <w:tab/>
        </w:r>
        <w:r>
          <w:rPr>
            <w:noProof/>
            <w:webHidden/>
          </w:rPr>
          <w:fldChar w:fldCharType="begin"/>
        </w:r>
        <w:r w:rsidR="007F7761">
          <w:rPr>
            <w:noProof/>
            <w:webHidden/>
          </w:rPr>
          <w:instrText xml:space="preserve"> PAGEREF _Toc240354419 \h </w:instrText>
        </w:r>
        <w:r>
          <w:rPr>
            <w:noProof/>
            <w:webHidden/>
          </w:rPr>
        </w:r>
        <w:r>
          <w:rPr>
            <w:noProof/>
            <w:webHidden/>
          </w:rPr>
          <w:fldChar w:fldCharType="separate"/>
        </w:r>
        <w:r w:rsidR="007F7761">
          <w:rPr>
            <w:noProof/>
            <w:webHidden/>
          </w:rPr>
          <w:t>15</w:t>
        </w:r>
        <w:r>
          <w:rPr>
            <w:noProof/>
            <w:webHidden/>
          </w:rPr>
          <w:fldChar w:fldCharType="end"/>
        </w:r>
      </w:hyperlink>
    </w:p>
    <w:p w:rsidR="007F7761" w:rsidRDefault="00612061">
      <w:pPr>
        <w:pStyle w:val="TOC2"/>
        <w:rPr>
          <w:rFonts w:asciiTheme="minorHAnsi" w:eastAsiaTheme="minorEastAsia" w:hAnsiTheme="minorHAnsi" w:cstheme="minorBidi"/>
          <w:bCs w:val="0"/>
          <w:noProof/>
          <w:szCs w:val="22"/>
          <w:lang w:eastAsia="en-GB"/>
        </w:rPr>
      </w:pPr>
      <w:hyperlink w:anchor="_Toc240354420" w:history="1">
        <w:r w:rsidR="007F7761" w:rsidRPr="00B94A4D">
          <w:rPr>
            <w:rStyle w:val="Hyperlink"/>
            <w:noProof/>
            <w:lang w:val="de-DE"/>
          </w:rPr>
          <w:t>7.3</w:t>
        </w:r>
        <w:r w:rsidR="007F7761">
          <w:rPr>
            <w:rFonts w:asciiTheme="minorHAnsi" w:eastAsiaTheme="minorEastAsia" w:hAnsiTheme="minorHAnsi" w:cstheme="minorBidi"/>
            <w:bCs w:val="0"/>
            <w:noProof/>
            <w:szCs w:val="22"/>
            <w:lang w:eastAsia="en-GB"/>
          </w:rPr>
          <w:tab/>
        </w:r>
        <w:r w:rsidR="007F7761" w:rsidRPr="00B94A4D">
          <w:rPr>
            <w:rStyle w:val="Hyperlink"/>
            <w:noProof/>
            <w:lang w:val="de-DE"/>
          </w:rPr>
          <w:t>German</w:t>
        </w:r>
        <w:r w:rsidR="007F7761">
          <w:rPr>
            <w:noProof/>
            <w:webHidden/>
          </w:rPr>
          <w:tab/>
        </w:r>
        <w:r>
          <w:rPr>
            <w:noProof/>
            <w:webHidden/>
          </w:rPr>
          <w:fldChar w:fldCharType="begin"/>
        </w:r>
        <w:r w:rsidR="007F7761">
          <w:rPr>
            <w:noProof/>
            <w:webHidden/>
          </w:rPr>
          <w:instrText xml:space="preserve"> PAGEREF _Toc240354420 \h </w:instrText>
        </w:r>
        <w:r>
          <w:rPr>
            <w:noProof/>
            <w:webHidden/>
          </w:rPr>
        </w:r>
        <w:r>
          <w:rPr>
            <w:noProof/>
            <w:webHidden/>
          </w:rPr>
          <w:fldChar w:fldCharType="separate"/>
        </w:r>
        <w:r w:rsidR="007F7761">
          <w:rPr>
            <w:noProof/>
            <w:webHidden/>
          </w:rPr>
          <w:t>15</w:t>
        </w:r>
        <w:r>
          <w:rPr>
            <w:noProof/>
            <w:webHidden/>
          </w:rPr>
          <w:fldChar w:fldCharType="end"/>
        </w:r>
      </w:hyperlink>
    </w:p>
    <w:p w:rsidR="007F7761" w:rsidRDefault="00612061">
      <w:pPr>
        <w:pStyle w:val="TOC2"/>
        <w:rPr>
          <w:rFonts w:asciiTheme="minorHAnsi" w:eastAsiaTheme="minorEastAsia" w:hAnsiTheme="minorHAnsi" w:cstheme="minorBidi"/>
          <w:bCs w:val="0"/>
          <w:noProof/>
          <w:szCs w:val="22"/>
          <w:lang w:eastAsia="en-GB"/>
        </w:rPr>
      </w:pPr>
      <w:hyperlink w:anchor="_Toc240354421" w:history="1">
        <w:r w:rsidR="007F7761" w:rsidRPr="00B94A4D">
          <w:rPr>
            <w:rStyle w:val="Hyperlink"/>
            <w:noProof/>
          </w:rPr>
          <w:t>7.4</w:t>
        </w:r>
        <w:r w:rsidR="007F7761">
          <w:rPr>
            <w:rFonts w:asciiTheme="minorHAnsi" w:eastAsiaTheme="minorEastAsia" w:hAnsiTheme="minorHAnsi" w:cstheme="minorBidi"/>
            <w:bCs w:val="0"/>
            <w:noProof/>
            <w:szCs w:val="22"/>
            <w:lang w:eastAsia="en-GB"/>
          </w:rPr>
          <w:tab/>
        </w:r>
        <w:r w:rsidR="007F7761" w:rsidRPr="00B94A4D">
          <w:rPr>
            <w:rStyle w:val="Hyperlink"/>
            <w:noProof/>
          </w:rPr>
          <w:t>Spanish</w:t>
        </w:r>
        <w:r w:rsidR="007F7761">
          <w:rPr>
            <w:noProof/>
            <w:webHidden/>
          </w:rPr>
          <w:tab/>
        </w:r>
        <w:r>
          <w:rPr>
            <w:noProof/>
            <w:webHidden/>
          </w:rPr>
          <w:fldChar w:fldCharType="begin"/>
        </w:r>
        <w:r w:rsidR="007F7761">
          <w:rPr>
            <w:noProof/>
            <w:webHidden/>
          </w:rPr>
          <w:instrText xml:space="preserve"> PAGEREF _Toc240354421 \h </w:instrText>
        </w:r>
        <w:r>
          <w:rPr>
            <w:noProof/>
            <w:webHidden/>
          </w:rPr>
        </w:r>
        <w:r>
          <w:rPr>
            <w:noProof/>
            <w:webHidden/>
          </w:rPr>
          <w:fldChar w:fldCharType="separate"/>
        </w:r>
        <w:r w:rsidR="007F7761">
          <w:rPr>
            <w:noProof/>
            <w:webHidden/>
          </w:rPr>
          <w:t>15</w:t>
        </w:r>
        <w:r>
          <w:rPr>
            <w:noProof/>
            <w:webHidden/>
          </w:rPr>
          <w:fldChar w:fldCharType="end"/>
        </w:r>
      </w:hyperlink>
    </w:p>
    <w:p w:rsidR="005207B2" w:rsidRDefault="00612061" w:rsidP="002D4569">
      <w:pPr>
        <w:pStyle w:val="BodyText"/>
      </w:pPr>
      <w:r>
        <w:rPr>
          <w:rFonts w:cs="Arial"/>
          <w:bCs/>
          <w:caps/>
        </w:rPr>
        <w:fldChar w:fldCharType="end"/>
      </w:r>
    </w:p>
    <w:p w:rsidR="00E22226" w:rsidRDefault="00E22226" w:rsidP="00E22226">
      <w:pPr>
        <w:pStyle w:val="Title"/>
      </w:pPr>
      <w:bookmarkStart w:id="3" w:name="_Toc240354394"/>
      <w:r>
        <w:t>Index of Tables</w:t>
      </w:r>
      <w:bookmarkEnd w:id="3"/>
    </w:p>
    <w:p w:rsidR="007F7761" w:rsidRDefault="00612061">
      <w:pPr>
        <w:pStyle w:val="TableofFigures"/>
        <w:rPr>
          <w:rFonts w:asciiTheme="minorHAnsi" w:eastAsiaTheme="minorEastAsia" w:hAnsiTheme="minorHAnsi" w:cstheme="minorBidi"/>
          <w:noProof/>
          <w:szCs w:val="22"/>
          <w:lang w:eastAsia="en-GB"/>
        </w:rPr>
      </w:pPr>
      <w:r>
        <w:fldChar w:fldCharType="begin"/>
      </w:r>
      <w:r w:rsidR="00E22226">
        <w:instrText xml:space="preserve"> TOC \h \z \t "Table_#" \c </w:instrText>
      </w:r>
      <w:r>
        <w:fldChar w:fldCharType="separate"/>
      </w:r>
      <w:hyperlink w:anchor="_Toc240354422" w:history="1">
        <w:r w:rsidR="007F7761" w:rsidRPr="00E27B70">
          <w:rPr>
            <w:rStyle w:val="Hyperlink"/>
            <w:noProof/>
          </w:rPr>
          <w:t>Table 1</w:t>
        </w:r>
        <w:r w:rsidR="007F7761">
          <w:rPr>
            <w:rFonts w:asciiTheme="minorHAnsi" w:eastAsiaTheme="minorEastAsia" w:hAnsiTheme="minorHAnsi" w:cstheme="minorBidi"/>
            <w:noProof/>
            <w:szCs w:val="22"/>
            <w:lang w:eastAsia="en-GB"/>
          </w:rPr>
          <w:tab/>
        </w:r>
        <w:r w:rsidR="007F7761" w:rsidRPr="00E27B70">
          <w:rPr>
            <w:rStyle w:val="Hyperlink"/>
            <w:noProof/>
          </w:rPr>
          <w:t>Specification of Ordinary Colours</w:t>
        </w:r>
        <w:r w:rsidR="007F7761">
          <w:rPr>
            <w:noProof/>
            <w:webHidden/>
          </w:rPr>
          <w:tab/>
        </w:r>
        <w:r>
          <w:rPr>
            <w:noProof/>
            <w:webHidden/>
          </w:rPr>
          <w:fldChar w:fldCharType="begin"/>
        </w:r>
        <w:r w:rsidR="007F7761">
          <w:rPr>
            <w:noProof/>
            <w:webHidden/>
          </w:rPr>
          <w:instrText xml:space="preserve"> PAGEREF _Toc240354422 \h </w:instrText>
        </w:r>
        <w:r>
          <w:rPr>
            <w:noProof/>
            <w:webHidden/>
          </w:rPr>
        </w:r>
        <w:r>
          <w:rPr>
            <w:noProof/>
            <w:webHidden/>
          </w:rPr>
          <w:fldChar w:fldCharType="separate"/>
        </w:r>
        <w:r w:rsidR="007F7761">
          <w:rPr>
            <w:noProof/>
            <w:webHidden/>
          </w:rPr>
          <w:t>12</w:t>
        </w:r>
        <w:r>
          <w:rPr>
            <w:noProof/>
            <w:webHidden/>
          </w:rPr>
          <w:fldChar w:fldCharType="end"/>
        </w:r>
      </w:hyperlink>
    </w:p>
    <w:p w:rsidR="007F7761" w:rsidRDefault="00612061">
      <w:pPr>
        <w:pStyle w:val="TableofFigures"/>
        <w:rPr>
          <w:rFonts w:asciiTheme="minorHAnsi" w:eastAsiaTheme="minorEastAsia" w:hAnsiTheme="minorHAnsi" w:cstheme="minorBidi"/>
          <w:noProof/>
          <w:szCs w:val="22"/>
          <w:lang w:eastAsia="en-GB"/>
        </w:rPr>
      </w:pPr>
      <w:hyperlink w:anchor="_Toc240354423" w:history="1">
        <w:r w:rsidR="007F7761" w:rsidRPr="00E27B70">
          <w:rPr>
            <w:rStyle w:val="Hyperlink"/>
            <w:noProof/>
          </w:rPr>
          <w:t>Table 2</w:t>
        </w:r>
        <w:r w:rsidR="007F7761">
          <w:rPr>
            <w:rFonts w:asciiTheme="minorHAnsi" w:eastAsiaTheme="minorEastAsia" w:hAnsiTheme="minorHAnsi" w:cstheme="minorBidi"/>
            <w:noProof/>
            <w:szCs w:val="22"/>
            <w:lang w:eastAsia="en-GB"/>
          </w:rPr>
          <w:tab/>
        </w:r>
        <w:r w:rsidR="007F7761" w:rsidRPr="00E27B70">
          <w:rPr>
            <w:rStyle w:val="Hyperlink"/>
            <w:noProof/>
          </w:rPr>
          <w:t>Corners of the Chromaticity Regions of Ordinary Colours</w:t>
        </w:r>
        <w:r w:rsidR="007F7761">
          <w:rPr>
            <w:noProof/>
            <w:webHidden/>
          </w:rPr>
          <w:tab/>
        </w:r>
        <w:r>
          <w:rPr>
            <w:noProof/>
            <w:webHidden/>
          </w:rPr>
          <w:fldChar w:fldCharType="begin"/>
        </w:r>
        <w:r w:rsidR="007F7761">
          <w:rPr>
            <w:noProof/>
            <w:webHidden/>
          </w:rPr>
          <w:instrText xml:space="preserve"> PAGEREF _Toc240354423 \h </w:instrText>
        </w:r>
        <w:r>
          <w:rPr>
            <w:noProof/>
            <w:webHidden/>
          </w:rPr>
        </w:r>
        <w:r>
          <w:rPr>
            <w:noProof/>
            <w:webHidden/>
          </w:rPr>
          <w:fldChar w:fldCharType="separate"/>
        </w:r>
        <w:r w:rsidR="007F7761">
          <w:rPr>
            <w:noProof/>
            <w:webHidden/>
          </w:rPr>
          <w:t>12</w:t>
        </w:r>
        <w:r>
          <w:rPr>
            <w:noProof/>
            <w:webHidden/>
          </w:rPr>
          <w:fldChar w:fldCharType="end"/>
        </w:r>
      </w:hyperlink>
    </w:p>
    <w:p w:rsidR="007F7761" w:rsidRDefault="00612061">
      <w:pPr>
        <w:pStyle w:val="TableofFigures"/>
        <w:rPr>
          <w:rFonts w:asciiTheme="minorHAnsi" w:eastAsiaTheme="minorEastAsia" w:hAnsiTheme="minorHAnsi" w:cstheme="minorBidi"/>
          <w:noProof/>
          <w:szCs w:val="22"/>
          <w:lang w:eastAsia="en-GB"/>
        </w:rPr>
      </w:pPr>
      <w:hyperlink w:anchor="_Toc240354424" w:history="1">
        <w:r w:rsidR="007F7761" w:rsidRPr="00E27B70">
          <w:rPr>
            <w:rStyle w:val="Hyperlink"/>
            <w:noProof/>
          </w:rPr>
          <w:t>Table 3</w:t>
        </w:r>
        <w:r w:rsidR="007F7761">
          <w:rPr>
            <w:rFonts w:asciiTheme="minorHAnsi" w:eastAsiaTheme="minorEastAsia" w:hAnsiTheme="minorHAnsi" w:cstheme="minorBidi"/>
            <w:noProof/>
            <w:szCs w:val="22"/>
            <w:lang w:eastAsia="en-GB"/>
          </w:rPr>
          <w:tab/>
        </w:r>
        <w:r w:rsidR="007F7761" w:rsidRPr="00E27B70">
          <w:rPr>
            <w:rStyle w:val="Hyperlink"/>
            <w:noProof/>
          </w:rPr>
          <w:t>Specification of Fluorescent Colours</w:t>
        </w:r>
        <w:r w:rsidR="007F7761">
          <w:rPr>
            <w:noProof/>
            <w:webHidden/>
          </w:rPr>
          <w:tab/>
        </w:r>
        <w:r>
          <w:rPr>
            <w:noProof/>
            <w:webHidden/>
          </w:rPr>
          <w:fldChar w:fldCharType="begin"/>
        </w:r>
        <w:r w:rsidR="007F7761">
          <w:rPr>
            <w:noProof/>
            <w:webHidden/>
          </w:rPr>
          <w:instrText xml:space="preserve"> PAGEREF _Toc240354424 \h </w:instrText>
        </w:r>
        <w:r>
          <w:rPr>
            <w:noProof/>
            <w:webHidden/>
          </w:rPr>
        </w:r>
        <w:r>
          <w:rPr>
            <w:noProof/>
            <w:webHidden/>
          </w:rPr>
          <w:fldChar w:fldCharType="separate"/>
        </w:r>
        <w:r w:rsidR="007F7761">
          <w:rPr>
            <w:noProof/>
            <w:webHidden/>
          </w:rPr>
          <w:t>13</w:t>
        </w:r>
        <w:r>
          <w:rPr>
            <w:noProof/>
            <w:webHidden/>
          </w:rPr>
          <w:fldChar w:fldCharType="end"/>
        </w:r>
      </w:hyperlink>
    </w:p>
    <w:p w:rsidR="007F7761" w:rsidRDefault="00612061">
      <w:pPr>
        <w:pStyle w:val="TableofFigures"/>
        <w:rPr>
          <w:rFonts w:asciiTheme="minorHAnsi" w:eastAsiaTheme="minorEastAsia" w:hAnsiTheme="minorHAnsi" w:cstheme="minorBidi"/>
          <w:noProof/>
          <w:szCs w:val="22"/>
          <w:lang w:eastAsia="en-GB"/>
        </w:rPr>
      </w:pPr>
      <w:hyperlink w:anchor="_Toc240354425" w:history="1">
        <w:r w:rsidR="007F7761" w:rsidRPr="00E27B70">
          <w:rPr>
            <w:rStyle w:val="Hyperlink"/>
            <w:noProof/>
          </w:rPr>
          <w:t>Table 4</w:t>
        </w:r>
        <w:r w:rsidR="007F7761">
          <w:rPr>
            <w:rFonts w:asciiTheme="minorHAnsi" w:eastAsiaTheme="minorEastAsia" w:hAnsiTheme="minorHAnsi" w:cstheme="minorBidi"/>
            <w:noProof/>
            <w:szCs w:val="22"/>
            <w:lang w:eastAsia="en-GB"/>
          </w:rPr>
          <w:tab/>
        </w:r>
        <w:r w:rsidR="007F7761" w:rsidRPr="00E27B70">
          <w:rPr>
            <w:rStyle w:val="Hyperlink"/>
            <w:bCs/>
            <w:noProof/>
            <w:lang w:eastAsia="de-DE"/>
          </w:rPr>
          <w:t>Corners of the Chromaticity Regions of Ordinary Colours</w:t>
        </w:r>
        <w:r w:rsidR="007F7761">
          <w:rPr>
            <w:noProof/>
            <w:webHidden/>
          </w:rPr>
          <w:tab/>
        </w:r>
        <w:r>
          <w:rPr>
            <w:noProof/>
            <w:webHidden/>
          </w:rPr>
          <w:fldChar w:fldCharType="begin"/>
        </w:r>
        <w:r w:rsidR="007F7761">
          <w:rPr>
            <w:noProof/>
            <w:webHidden/>
          </w:rPr>
          <w:instrText xml:space="preserve"> PAGEREF _Toc240354425 \h </w:instrText>
        </w:r>
        <w:r>
          <w:rPr>
            <w:noProof/>
            <w:webHidden/>
          </w:rPr>
        </w:r>
        <w:r>
          <w:rPr>
            <w:noProof/>
            <w:webHidden/>
          </w:rPr>
          <w:fldChar w:fldCharType="separate"/>
        </w:r>
        <w:r w:rsidR="007F7761">
          <w:rPr>
            <w:noProof/>
            <w:webHidden/>
          </w:rPr>
          <w:t>13</w:t>
        </w:r>
        <w:r>
          <w:rPr>
            <w:noProof/>
            <w:webHidden/>
          </w:rPr>
          <w:fldChar w:fldCharType="end"/>
        </w:r>
      </w:hyperlink>
    </w:p>
    <w:p w:rsidR="007F7761" w:rsidRDefault="00612061">
      <w:pPr>
        <w:pStyle w:val="TableofFigures"/>
        <w:rPr>
          <w:rFonts w:asciiTheme="minorHAnsi" w:eastAsiaTheme="minorEastAsia" w:hAnsiTheme="minorHAnsi" w:cstheme="minorBidi"/>
          <w:noProof/>
          <w:szCs w:val="22"/>
          <w:lang w:eastAsia="en-GB"/>
        </w:rPr>
      </w:pPr>
      <w:hyperlink w:anchor="_Toc240354426" w:history="1">
        <w:r w:rsidR="007F7761" w:rsidRPr="00E27B70">
          <w:rPr>
            <w:rStyle w:val="Hyperlink"/>
            <w:noProof/>
            <w:highlight w:val="yellow"/>
          </w:rPr>
          <w:t>Table 5</w:t>
        </w:r>
        <w:r w:rsidR="007F7761">
          <w:rPr>
            <w:rFonts w:asciiTheme="minorHAnsi" w:eastAsiaTheme="minorEastAsia" w:hAnsiTheme="minorHAnsi" w:cstheme="minorBidi"/>
            <w:noProof/>
            <w:szCs w:val="22"/>
            <w:lang w:eastAsia="en-GB"/>
          </w:rPr>
          <w:tab/>
        </w:r>
        <w:r w:rsidR="007F7761" w:rsidRPr="00E27B70">
          <w:rPr>
            <w:rStyle w:val="Hyperlink"/>
            <w:noProof/>
            <w:highlight w:val="green"/>
          </w:rPr>
          <w:t>Requires title</w:t>
        </w:r>
        <w:r w:rsidR="007F7761">
          <w:rPr>
            <w:noProof/>
            <w:webHidden/>
          </w:rPr>
          <w:tab/>
        </w:r>
        <w:r>
          <w:rPr>
            <w:noProof/>
            <w:webHidden/>
          </w:rPr>
          <w:fldChar w:fldCharType="begin"/>
        </w:r>
        <w:r w:rsidR="007F7761">
          <w:rPr>
            <w:noProof/>
            <w:webHidden/>
          </w:rPr>
          <w:instrText xml:space="preserve"> PAGEREF _Toc240354426 \h </w:instrText>
        </w:r>
        <w:r>
          <w:rPr>
            <w:noProof/>
            <w:webHidden/>
          </w:rPr>
        </w:r>
        <w:r>
          <w:rPr>
            <w:noProof/>
            <w:webHidden/>
          </w:rPr>
          <w:fldChar w:fldCharType="separate"/>
        </w:r>
        <w:r w:rsidR="007F7761">
          <w:rPr>
            <w:noProof/>
            <w:webHidden/>
          </w:rPr>
          <w:t>14</w:t>
        </w:r>
        <w:r>
          <w:rPr>
            <w:noProof/>
            <w:webHidden/>
          </w:rPr>
          <w:fldChar w:fldCharType="end"/>
        </w:r>
      </w:hyperlink>
    </w:p>
    <w:p w:rsidR="007F7761" w:rsidRDefault="00612061">
      <w:pPr>
        <w:pStyle w:val="TableofFigures"/>
        <w:rPr>
          <w:rFonts w:asciiTheme="minorHAnsi" w:eastAsiaTheme="minorEastAsia" w:hAnsiTheme="minorHAnsi" w:cstheme="minorBidi"/>
          <w:noProof/>
          <w:szCs w:val="22"/>
          <w:lang w:eastAsia="en-GB"/>
        </w:rPr>
      </w:pPr>
      <w:hyperlink w:anchor="_Toc240354427" w:history="1">
        <w:r w:rsidR="007F7761" w:rsidRPr="00E27B70">
          <w:rPr>
            <w:rStyle w:val="Hyperlink"/>
            <w:noProof/>
          </w:rPr>
          <w:t>Table 6</w:t>
        </w:r>
        <w:r w:rsidR="007F7761">
          <w:rPr>
            <w:rFonts w:asciiTheme="minorHAnsi" w:eastAsiaTheme="minorEastAsia" w:hAnsiTheme="minorHAnsi" w:cstheme="minorBidi"/>
            <w:noProof/>
            <w:szCs w:val="22"/>
            <w:lang w:eastAsia="en-GB"/>
          </w:rPr>
          <w:tab/>
        </w:r>
        <w:r w:rsidR="007F7761" w:rsidRPr="00E27B70">
          <w:rPr>
            <w:rStyle w:val="Hyperlink"/>
            <w:noProof/>
            <w:highlight w:val="green"/>
          </w:rPr>
          <w:t>Requires title</w:t>
        </w:r>
        <w:r w:rsidR="007F7761">
          <w:rPr>
            <w:noProof/>
            <w:webHidden/>
          </w:rPr>
          <w:tab/>
        </w:r>
        <w:r>
          <w:rPr>
            <w:noProof/>
            <w:webHidden/>
          </w:rPr>
          <w:fldChar w:fldCharType="begin"/>
        </w:r>
        <w:r w:rsidR="007F7761">
          <w:rPr>
            <w:noProof/>
            <w:webHidden/>
          </w:rPr>
          <w:instrText xml:space="preserve"> PAGEREF _Toc240354427 \h </w:instrText>
        </w:r>
        <w:r>
          <w:rPr>
            <w:noProof/>
            <w:webHidden/>
          </w:rPr>
        </w:r>
        <w:r>
          <w:rPr>
            <w:noProof/>
            <w:webHidden/>
          </w:rPr>
          <w:fldChar w:fldCharType="separate"/>
        </w:r>
        <w:r w:rsidR="007F7761">
          <w:rPr>
            <w:noProof/>
            <w:webHidden/>
          </w:rPr>
          <w:t>14</w:t>
        </w:r>
        <w:r>
          <w:rPr>
            <w:noProof/>
            <w:webHidden/>
          </w:rPr>
          <w:fldChar w:fldCharType="end"/>
        </w:r>
      </w:hyperlink>
    </w:p>
    <w:p w:rsidR="00E22226" w:rsidRDefault="00612061" w:rsidP="00E22226">
      <w:pPr>
        <w:pStyle w:val="BodyText"/>
      </w:pPr>
      <w:r>
        <w:lastRenderedPageBreak/>
        <w:fldChar w:fldCharType="end"/>
      </w:r>
    </w:p>
    <w:p w:rsidR="002D4569" w:rsidRDefault="002D4569" w:rsidP="00D30727">
      <w:pPr>
        <w:pStyle w:val="Title"/>
      </w:pPr>
      <w:bookmarkStart w:id="4" w:name="_Toc240354395"/>
      <w:r>
        <w:t>Index of Figures</w:t>
      </w:r>
      <w:bookmarkEnd w:id="4"/>
    </w:p>
    <w:p w:rsidR="007F7761" w:rsidRDefault="00612061">
      <w:pPr>
        <w:pStyle w:val="TableofFigures"/>
        <w:rPr>
          <w:rFonts w:asciiTheme="minorHAnsi" w:eastAsiaTheme="minorEastAsia" w:hAnsiTheme="minorHAnsi" w:cstheme="minorBidi"/>
          <w:noProof/>
          <w:szCs w:val="22"/>
          <w:lang w:eastAsia="en-GB"/>
        </w:rPr>
      </w:pPr>
      <w:r>
        <w:fldChar w:fldCharType="begin"/>
      </w:r>
      <w:r w:rsidR="002D4569">
        <w:instrText xml:space="preserve"> TOC \h \z \t "Figure_#" \c </w:instrText>
      </w:r>
      <w:r>
        <w:fldChar w:fldCharType="separate"/>
      </w:r>
      <w:hyperlink w:anchor="_Toc240354428" w:history="1">
        <w:r w:rsidR="007F7761" w:rsidRPr="00F371B0">
          <w:rPr>
            <w:rStyle w:val="Hyperlink"/>
            <w:noProof/>
            <w:highlight w:val="yellow"/>
          </w:rPr>
          <w:t>Figure 1</w:t>
        </w:r>
        <w:r w:rsidR="007F7761">
          <w:rPr>
            <w:rFonts w:asciiTheme="minorHAnsi" w:eastAsiaTheme="minorEastAsia" w:hAnsiTheme="minorHAnsi" w:cstheme="minorBidi"/>
            <w:noProof/>
            <w:szCs w:val="22"/>
            <w:lang w:eastAsia="en-GB"/>
          </w:rPr>
          <w:tab/>
        </w:r>
        <w:r w:rsidR="007F7761" w:rsidRPr="00F371B0">
          <w:rPr>
            <w:rStyle w:val="Hyperlink"/>
            <w:noProof/>
            <w:highlight w:val="yellow"/>
          </w:rPr>
          <w:t>Chromaticity regions for ordinary colours</w:t>
        </w:r>
        <w:r w:rsidR="007F7761">
          <w:rPr>
            <w:noProof/>
            <w:webHidden/>
          </w:rPr>
          <w:tab/>
        </w:r>
        <w:r>
          <w:rPr>
            <w:noProof/>
            <w:webHidden/>
          </w:rPr>
          <w:fldChar w:fldCharType="begin"/>
        </w:r>
        <w:r w:rsidR="007F7761">
          <w:rPr>
            <w:noProof/>
            <w:webHidden/>
          </w:rPr>
          <w:instrText xml:space="preserve"> PAGEREF _Toc240354428 \h </w:instrText>
        </w:r>
        <w:r>
          <w:rPr>
            <w:noProof/>
            <w:webHidden/>
          </w:rPr>
        </w:r>
        <w:r>
          <w:rPr>
            <w:noProof/>
            <w:webHidden/>
          </w:rPr>
          <w:fldChar w:fldCharType="separate"/>
        </w:r>
        <w:r w:rsidR="007F7761">
          <w:rPr>
            <w:noProof/>
            <w:webHidden/>
          </w:rPr>
          <w:t>10</w:t>
        </w:r>
        <w:r>
          <w:rPr>
            <w:noProof/>
            <w:webHidden/>
          </w:rPr>
          <w:fldChar w:fldCharType="end"/>
        </w:r>
      </w:hyperlink>
    </w:p>
    <w:p w:rsidR="007F7761" w:rsidRDefault="00612061">
      <w:pPr>
        <w:pStyle w:val="TableofFigures"/>
        <w:rPr>
          <w:rFonts w:asciiTheme="minorHAnsi" w:eastAsiaTheme="minorEastAsia" w:hAnsiTheme="minorHAnsi" w:cstheme="minorBidi"/>
          <w:noProof/>
          <w:szCs w:val="22"/>
          <w:lang w:eastAsia="en-GB"/>
        </w:rPr>
      </w:pPr>
      <w:hyperlink w:anchor="_Toc240354429" w:history="1">
        <w:r w:rsidR="007F7761" w:rsidRPr="00F371B0">
          <w:rPr>
            <w:rStyle w:val="Hyperlink"/>
            <w:noProof/>
            <w:highlight w:val="yellow"/>
          </w:rPr>
          <w:t>Figure 2</w:t>
        </w:r>
        <w:r w:rsidR="007F7761">
          <w:rPr>
            <w:rFonts w:asciiTheme="minorHAnsi" w:eastAsiaTheme="minorEastAsia" w:hAnsiTheme="minorHAnsi" w:cstheme="minorBidi"/>
            <w:noProof/>
            <w:szCs w:val="22"/>
            <w:lang w:eastAsia="en-GB"/>
          </w:rPr>
          <w:tab/>
        </w:r>
        <w:r w:rsidR="007F7761" w:rsidRPr="00F371B0">
          <w:rPr>
            <w:rStyle w:val="Hyperlink"/>
            <w:noProof/>
            <w:highlight w:val="yellow"/>
          </w:rPr>
          <w:t>Chromaticity regions for fluorescent colours</w:t>
        </w:r>
        <w:r w:rsidR="007F7761">
          <w:rPr>
            <w:noProof/>
            <w:webHidden/>
          </w:rPr>
          <w:tab/>
        </w:r>
        <w:r>
          <w:rPr>
            <w:noProof/>
            <w:webHidden/>
          </w:rPr>
          <w:fldChar w:fldCharType="begin"/>
        </w:r>
        <w:r w:rsidR="007F7761">
          <w:rPr>
            <w:noProof/>
            <w:webHidden/>
          </w:rPr>
          <w:instrText xml:space="preserve"> PAGEREF _Toc240354429 \h </w:instrText>
        </w:r>
        <w:r>
          <w:rPr>
            <w:noProof/>
            <w:webHidden/>
          </w:rPr>
        </w:r>
        <w:r>
          <w:rPr>
            <w:noProof/>
            <w:webHidden/>
          </w:rPr>
          <w:fldChar w:fldCharType="separate"/>
        </w:r>
        <w:r w:rsidR="007F7761">
          <w:rPr>
            <w:noProof/>
            <w:webHidden/>
          </w:rPr>
          <w:t>11</w:t>
        </w:r>
        <w:r>
          <w:rPr>
            <w:noProof/>
            <w:webHidden/>
          </w:rPr>
          <w:fldChar w:fldCharType="end"/>
        </w:r>
      </w:hyperlink>
    </w:p>
    <w:p w:rsidR="002D4569" w:rsidRDefault="00612061" w:rsidP="002D4569">
      <w:pPr>
        <w:pStyle w:val="BodyText"/>
      </w:pPr>
      <w:r>
        <w:fldChar w:fldCharType="end"/>
      </w:r>
    </w:p>
    <w:p w:rsidR="00985597" w:rsidRDefault="00460028" w:rsidP="00D30727">
      <w:pPr>
        <w:pStyle w:val="Title"/>
      </w:pPr>
      <w:r>
        <w:br w:type="page"/>
      </w:r>
      <w:bookmarkStart w:id="5" w:name="_Toc240354396"/>
      <w:r w:rsidR="00985597">
        <w:lastRenderedPageBreak/>
        <w:t>Annex</w:t>
      </w:r>
      <w:bookmarkEnd w:id="5"/>
    </w:p>
    <w:p w:rsidR="009E1230" w:rsidRPr="00F176ED" w:rsidRDefault="00F176ED" w:rsidP="00F176ED">
      <w:pPr>
        <w:pStyle w:val="BodyText"/>
        <w:jc w:val="center"/>
        <w:rPr>
          <w:b/>
          <w:sz w:val="32"/>
          <w:szCs w:val="32"/>
        </w:rPr>
      </w:pPr>
      <w:bookmarkStart w:id="6" w:name="_Toc240332627"/>
      <w:r w:rsidRPr="00F176ED">
        <w:rPr>
          <w:b/>
          <w:sz w:val="32"/>
          <w:szCs w:val="32"/>
        </w:rPr>
        <w:t>Surface Colours Used As Visual Signals On Aids To Navigation</w:t>
      </w:r>
      <w:bookmarkEnd w:id="6"/>
    </w:p>
    <w:p w:rsidR="003C44EB" w:rsidRPr="00371BEF" w:rsidRDefault="00F176ED" w:rsidP="00EE3BAA">
      <w:pPr>
        <w:pStyle w:val="Heading1"/>
        <w:numPr>
          <w:ilvl w:val="0"/>
          <w:numId w:val="1"/>
        </w:numPr>
      </w:pPr>
      <w:bookmarkStart w:id="7" w:name="_Toc240354397"/>
      <w:r>
        <w:t>General</w:t>
      </w:r>
      <w:bookmarkEnd w:id="7"/>
    </w:p>
    <w:p w:rsidR="00F176ED" w:rsidRDefault="00F176ED" w:rsidP="00F176ED">
      <w:pPr>
        <w:pStyle w:val="BodyText"/>
      </w:pPr>
      <w:r>
        <w:t xml:space="preserve">A surface colour is a colour perceived to belong to a surface. The colour of an ordinary surface, such as an ordinary paint or an opaque plastic material, is the most common kind of surface colour and is known as an </w:t>
      </w:r>
      <w:r w:rsidRPr="0031732D">
        <w:rPr>
          <w:b/>
        </w:rPr>
        <w:t>ordinary</w:t>
      </w:r>
      <w:r>
        <w:t xml:space="preserve"> colour. Other kinds of colours include </w:t>
      </w:r>
      <w:r w:rsidRPr="0031732D">
        <w:rPr>
          <w:b/>
        </w:rPr>
        <w:t>fluorescent</w:t>
      </w:r>
      <w:r>
        <w:t xml:space="preserve"> (or luminescent) colours, </w:t>
      </w:r>
      <w:r w:rsidRPr="0031732D">
        <w:rPr>
          <w:b/>
        </w:rPr>
        <w:t>transilluminated</w:t>
      </w:r>
      <w:r>
        <w:t xml:space="preserve"> colours (for example, the colours of internally illuminated panels) and the colours of </w:t>
      </w:r>
      <w:r w:rsidRPr="0031732D">
        <w:rPr>
          <w:b/>
        </w:rPr>
        <w:t>retro-reflecting</w:t>
      </w:r>
      <w:r>
        <w:t xml:space="preserve"> materials.</w:t>
      </w:r>
    </w:p>
    <w:p w:rsidR="00F176ED" w:rsidRDefault="00F176ED" w:rsidP="00F176ED">
      <w:pPr>
        <w:pStyle w:val="BodyText"/>
      </w:pPr>
      <w:r>
        <w:t>A surface colour can be specified in terms of its chromaticity and its luminance factor. The chromaticity is defined by chromaticity coordinates, which may be plotted on a chromaticity diagram, and the luminance factor is a measure of the lightness of the colour relative to a pure white diffusing surface under the same illumination. As a specification must be made with respect to some type of illumination, the International Commission on Illumination (CIE) have precisely defined several standard illuminants. The results of the measurement of a colour can depend significantly on the degree of gloss on the surface, and the CIE have also recommended various geometries of illumination and measurement.</w:t>
      </w:r>
    </w:p>
    <w:p w:rsidR="00F176ED" w:rsidRDefault="00F176ED" w:rsidP="00F176ED">
      <w:pPr>
        <w:pStyle w:val="BodyText"/>
      </w:pPr>
      <w:r>
        <w:t>Two colours may be measured as having the same chromaticity and luminance factor under one illuminant, but dissimilar ones under a different illuminant. This phenomenon is known as metamerism, and its effect can be very significant. It is advisable to check that the appearance of a signal colour will remain reasonably constant under the various types of illumination by which the colour is expected to be seen.</w:t>
      </w:r>
    </w:p>
    <w:p w:rsidR="00F176ED" w:rsidRDefault="00F176ED" w:rsidP="00F176ED">
      <w:pPr>
        <w:pStyle w:val="BodyText"/>
      </w:pPr>
      <w:r>
        <w:t>A surface colour is usually seen in relation to other surface colours, and the perception of the colour can be quite markedly influenced by the presence of the other colours. Hence, a signal colour should always be checked, especially at a distance, for its appearance among the surrounding colours.</w:t>
      </w:r>
    </w:p>
    <w:p w:rsidR="003C44EB" w:rsidRPr="00371BEF" w:rsidRDefault="00F176ED" w:rsidP="00F176ED">
      <w:r>
        <w:t>Deterioration of surface colours in use is a common occurrence, and care must be taken that signal colours always remain in compliance with their specifications. Particular attention should be given to fluorescent colours, as they are liable to undergo rapid changes of chromaticity and luminance factor on exposure to radiation and wear if they are not provided with special protective surfaces. Frequent inspections of fluorescent colours are advised until the normal useful life has been confidently ascertained for each typical situation where these colours are used. Special care may be needed if fluorescent and non-fluorescent colours of the same chromaticity are chosen to be used together, as different deteriorations might produce dissimilarities of the chromaticity</w:t>
      </w:r>
    </w:p>
    <w:p w:rsidR="003C44EB" w:rsidRPr="00371BEF" w:rsidRDefault="00F176ED" w:rsidP="00F176ED">
      <w:pPr>
        <w:pStyle w:val="Heading1"/>
      </w:pPr>
      <w:bookmarkStart w:id="8" w:name="_Toc240354398"/>
      <w:r>
        <w:t>Specification and measurement of the colours</w:t>
      </w:r>
      <w:bookmarkEnd w:id="8"/>
    </w:p>
    <w:p w:rsidR="00F176ED" w:rsidRDefault="00F176ED" w:rsidP="00F176ED">
      <w:pPr>
        <w:pStyle w:val="BodyText"/>
      </w:pPr>
      <w:r>
        <w:t>The recommendations in this document are based largely on experimental work involving the recognition and naming of colours, but they have also taken account of common practice and the limitations of materials. The method of specifying the colours is in conformity with the recommendations of the CIE. The recommended limits of the chromaticity of a colour are specified by means of limiting boundaries that enclose a chromaticity region on a CIE standard chromaticity diagram.</w:t>
      </w:r>
    </w:p>
    <w:p w:rsidR="00F176ED" w:rsidRDefault="00F176ED" w:rsidP="00F176ED">
      <w:pPr>
        <w:autoSpaceDE w:val="0"/>
        <w:autoSpaceDN w:val="0"/>
        <w:adjustRightInd w:val="0"/>
        <w:rPr>
          <w:lang w:eastAsia="de-DE"/>
        </w:rPr>
      </w:pPr>
      <w:r>
        <w:t xml:space="preserve">The recommended ordinary and fluorescent colours are specified in Tables 1 and 3, respectively. These tables provide the names of the colours, the equations and names of the boundary lines of the chromaticity regions, and the limits of the luminance factors. The coordinates of the corners of the chromaticity regions are given, in Tables 2 and 4, respectively. </w:t>
      </w:r>
      <w:r w:rsidRPr="00C937CA">
        <w:rPr>
          <w:lang w:eastAsia="de-DE"/>
        </w:rPr>
        <w:t>The chromaticity regions are</w:t>
      </w:r>
      <w:r>
        <w:rPr>
          <w:lang w:eastAsia="de-DE"/>
        </w:rPr>
        <w:t xml:space="preserve"> </w:t>
      </w:r>
      <w:r w:rsidRPr="00C937CA">
        <w:rPr>
          <w:lang w:eastAsia="de-DE"/>
        </w:rPr>
        <w:t>shown on CIE standard chromaticity diagrams in Figures 1 and 2.</w:t>
      </w:r>
    </w:p>
    <w:p w:rsidR="00F176ED" w:rsidRDefault="00F176ED" w:rsidP="00F176ED">
      <w:pPr>
        <w:autoSpaceDE w:val="0"/>
        <w:autoSpaceDN w:val="0"/>
        <w:adjustRightInd w:val="0"/>
        <w:rPr>
          <w:lang w:eastAsia="de-DE"/>
        </w:rPr>
      </w:pPr>
    </w:p>
    <w:p w:rsidR="00F176ED" w:rsidRPr="00C937CA" w:rsidRDefault="00F176ED" w:rsidP="00F176ED">
      <w:pPr>
        <w:autoSpaceDE w:val="0"/>
        <w:autoSpaceDN w:val="0"/>
        <w:adjustRightInd w:val="0"/>
      </w:pPr>
      <w:r w:rsidRPr="00F16EB2">
        <w:rPr>
          <w:highlight w:val="yellow"/>
        </w:rPr>
        <w:lastRenderedPageBreak/>
        <w:t>The luminance factor ß and the chromaticity coordinates x,y strongly depend on the measurement principle and the structure of the surface, texture, gloss, patterns etc.</w:t>
      </w:r>
    </w:p>
    <w:p w:rsidR="00F176ED" w:rsidRPr="00F16EB2" w:rsidRDefault="00F176ED" w:rsidP="00F176ED">
      <w:pPr>
        <w:pStyle w:val="BodyText"/>
        <w:rPr>
          <w:highlight w:val="yellow"/>
        </w:rPr>
      </w:pPr>
      <w:r w:rsidRPr="00F16EB2">
        <w:rPr>
          <w:highlight w:val="yellow"/>
        </w:rPr>
        <w:t>To make colour measurement precise and repeatable various specifications are necessary. It is stated that the chromaticity regions and the limits of the luminance factor are only valid, when the following specifications are fullfilled.</w:t>
      </w:r>
    </w:p>
    <w:p w:rsidR="00F176ED" w:rsidRPr="00F16EB2" w:rsidRDefault="00F176ED" w:rsidP="00F176ED">
      <w:pPr>
        <w:pStyle w:val="Heading2"/>
        <w:rPr>
          <w:highlight w:val="yellow"/>
        </w:rPr>
      </w:pPr>
      <w:bookmarkStart w:id="9" w:name="_Toc240354399"/>
      <w:r w:rsidRPr="00F16EB2">
        <w:rPr>
          <w:highlight w:val="yellow"/>
        </w:rPr>
        <w:t>Standard illuminant:</w:t>
      </w:r>
      <w:bookmarkEnd w:id="9"/>
    </w:p>
    <w:p w:rsidR="00F176ED" w:rsidRPr="00F16EB2" w:rsidRDefault="00F176ED" w:rsidP="00F176ED">
      <w:pPr>
        <w:pStyle w:val="BodyText"/>
        <w:rPr>
          <w:highlight w:val="yellow"/>
        </w:rPr>
      </w:pPr>
      <w:r w:rsidRPr="00F16EB2">
        <w:rPr>
          <w:highlight w:val="yellow"/>
        </w:rPr>
        <w:t>The standard illuminant specified for the measurement of a colour is D</w:t>
      </w:r>
      <w:r w:rsidRPr="00F16EB2">
        <w:rPr>
          <w:highlight w:val="yellow"/>
          <w:vertAlign w:val="subscript"/>
        </w:rPr>
        <w:t>65</w:t>
      </w:r>
      <w:r w:rsidRPr="00F16EB2">
        <w:rPr>
          <w:highlight w:val="yellow"/>
        </w:rPr>
        <w:t>, which represents a typical phase of daylight and has a correlated colour temperature of approximately 650</w:t>
      </w:r>
      <w:r>
        <w:rPr>
          <w:highlight w:val="yellow"/>
        </w:rPr>
        <w:t>0</w:t>
      </w:r>
      <w:r w:rsidRPr="00F16EB2">
        <w:rPr>
          <w:highlight w:val="yellow"/>
        </w:rPr>
        <w:t xml:space="preserve"> kelvins. It is a tabulation of values across and beyond the visible spectrum1 and does not exist as a real light source although fairly close approximations to it can be realized. The chromaticity of standard illuminant D</w:t>
      </w:r>
      <w:r w:rsidRPr="00F16EB2">
        <w:rPr>
          <w:highlight w:val="yellow"/>
          <w:vertAlign w:val="subscript"/>
        </w:rPr>
        <w:t>65</w:t>
      </w:r>
      <w:r w:rsidRPr="00F16EB2">
        <w:rPr>
          <w:highlight w:val="yellow"/>
        </w:rPr>
        <w:t xml:space="preserve"> ( the illuminant point) is shown in the Figures.</w:t>
      </w:r>
    </w:p>
    <w:p w:rsidR="00F176ED" w:rsidRPr="00F16EB2" w:rsidRDefault="00F176ED" w:rsidP="00F176ED">
      <w:pPr>
        <w:pStyle w:val="Heading2"/>
        <w:rPr>
          <w:highlight w:val="yellow"/>
        </w:rPr>
      </w:pPr>
      <w:bookmarkStart w:id="10" w:name="_Toc240354400"/>
      <w:r w:rsidRPr="00F16EB2">
        <w:rPr>
          <w:highlight w:val="yellow"/>
        </w:rPr>
        <w:t>Measurement Geometry:</w:t>
      </w:r>
      <w:bookmarkEnd w:id="10"/>
    </w:p>
    <w:p w:rsidR="00F176ED" w:rsidRPr="00F16EB2" w:rsidRDefault="00F176ED" w:rsidP="00F176ED">
      <w:pPr>
        <w:pStyle w:val="BodyText"/>
        <w:rPr>
          <w:szCs w:val="22"/>
          <w:highlight w:val="yellow"/>
        </w:rPr>
      </w:pPr>
      <w:r w:rsidRPr="00F16EB2">
        <w:rPr>
          <w:szCs w:val="22"/>
          <w:highlight w:val="yellow"/>
        </w:rPr>
        <w:t xml:space="preserve">To take the effects of the coloured surface into account a  </w:t>
      </w:r>
      <w:r w:rsidRPr="00F16EB2">
        <w:rPr>
          <w:highlight w:val="yellow"/>
        </w:rPr>
        <w:t xml:space="preserve">45º annual /normal </w:t>
      </w:r>
      <w:r w:rsidRPr="00F16EB2">
        <w:rPr>
          <w:szCs w:val="22"/>
          <w:highlight w:val="yellow"/>
        </w:rPr>
        <w:t xml:space="preserve">geometry </w:t>
      </w:r>
      <w:r w:rsidRPr="00F16EB2">
        <w:rPr>
          <w:highlight w:val="yellow"/>
        </w:rPr>
        <w:t xml:space="preserve">(45/0) </w:t>
      </w:r>
      <w:r w:rsidRPr="00F16EB2">
        <w:rPr>
          <w:szCs w:val="22"/>
          <w:highlight w:val="yellow"/>
        </w:rPr>
        <w:t xml:space="preserve">is used for measurements. The report CIE 15 (point 5.1.2) emphasis this geometry as well. </w:t>
      </w:r>
      <w:r w:rsidRPr="00F16EB2">
        <w:rPr>
          <w:highlight w:val="yellow"/>
        </w:rPr>
        <w:t xml:space="preserve">A 45º/normal (45/0), means that the colour should be illuminated at an angle of 45º to the normal to the surface </w:t>
      </w:r>
      <w:r w:rsidRPr="00F16EB2">
        <w:rPr>
          <w:szCs w:val="22"/>
          <w:highlight w:val="yellow"/>
        </w:rPr>
        <w:t>from all azimuthal directions</w:t>
      </w:r>
      <w:r w:rsidRPr="00F16EB2">
        <w:rPr>
          <w:highlight w:val="yellow"/>
        </w:rPr>
        <w:t xml:space="preserve">, and the colour should be measured in the direction of the normal. Measurement with a geometry of normal/45º will usually produce an identical result. </w:t>
      </w:r>
    </w:p>
    <w:p w:rsidR="00F176ED" w:rsidRPr="00F16EB2" w:rsidRDefault="00F176ED" w:rsidP="00F176ED">
      <w:pPr>
        <w:pStyle w:val="Heading2"/>
        <w:rPr>
          <w:highlight w:val="yellow"/>
        </w:rPr>
      </w:pPr>
      <w:bookmarkStart w:id="11" w:name="_Toc240354401"/>
      <w:r w:rsidRPr="00F16EB2">
        <w:rPr>
          <w:highlight w:val="yellow"/>
        </w:rPr>
        <w:t>Standard Observer:</w:t>
      </w:r>
      <w:bookmarkEnd w:id="11"/>
    </w:p>
    <w:p w:rsidR="00F176ED" w:rsidRPr="00F16EB2" w:rsidRDefault="00F176ED" w:rsidP="00F176ED">
      <w:pPr>
        <w:rPr>
          <w:szCs w:val="22"/>
          <w:highlight w:val="yellow"/>
        </w:rPr>
      </w:pPr>
      <w:r w:rsidRPr="00F16EB2">
        <w:rPr>
          <w:szCs w:val="22"/>
          <w:highlight w:val="yellow"/>
        </w:rPr>
        <w:t xml:space="preserve">The 2° standard observer (CIE 15, point 6.1) is used for large observation distances and above all to consider the attitudes of the human eye: this is the area with the highest cone density and is therefore relevant for colour perception. The 2° observer covers the application as aids to navigation purposes. </w:t>
      </w:r>
    </w:p>
    <w:p w:rsidR="00F176ED" w:rsidRPr="00F16EB2" w:rsidRDefault="00F176ED" w:rsidP="00F176ED">
      <w:pPr>
        <w:pStyle w:val="Heading2"/>
        <w:rPr>
          <w:highlight w:val="yellow"/>
        </w:rPr>
      </w:pPr>
      <w:bookmarkStart w:id="12" w:name="_Toc240354402"/>
      <w:r w:rsidRPr="00F16EB2">
        <w:rPr>
          <w:highlight w:val="yellow"/>
        </w:rPr>
        <w:t>Glossiness of the surface:</w:t>
      </w:r>
      <w:bookmarkEnd w:id="12"/>
    </w:p>
    <w:p w:rsidR="00F176ED" w:rsidRPr="00F16EB2" w:rsidRDefault="00F176ED" w:rsidP="00F176ED">
      <w:pPr>
        <w:pStyle w:val="BodyText"/>
        <w:rPr>
          <w:highlight w:val="yellow"/>
        </w:rPr>
      </w:pPr>
      <w:r w:rsidRPr="00F16EB2">
        <w:rPr>
          <w:highlight w:val="yellow"/>
        </w:rPr>
        <w:t xml:space="preserve">A glossy surface produces a saturated colour, whereas a matt-finished surface has only a poor saturation even when both surfaces </w:t>
      </w:r>
      <w:r>
        <w:rPr>
          <w:highlight w:val="yellow"/>
        </w:rPr>
        <w:t>are based on</w:t>
      </w:r>
      <w:r w:rsidRPr="00F16EB2">
        <w:rPr>
          <w:highlight w:val="yellow"/>
        </w:rPr>
        <w:t xml:space="preserve"> the same colour pigment. </w:t>
      </w:r>
    </w:p>
    <w:p w:rsidR="00F176ED" w:rsidRDefault="00F176ED" w:rsidP="00F176ED">
      <w:pPr>
        <w:pStyle w:val="BodyText"/>
      </w:pPr>
      <w:r w:rsidRPr="00F16EB2">
        <w:rPr>
          <w:highlight w:val="yellow"/>
        </w:rPr>
        <w:t>As a result the recommended IALA chromaticity regions can only be achieved by a surface with enough glossiness. Therefor it is recommended to use glossy colours for Aids to Navigation.</w:t>
      </w:r>
    </w:p>
    <w:p w:rsidR="00F176ED" w:rsidRDefault="00F176ED" w:rsidP="00F176ED">
      <w:pPr>
        <w:pStyle w:val="BodyText"/>
      </w:pPr>
      <w:r>
        <w:t>The chromaticity region recommended for each fluorescent colour is identical to the region of the corresponding ordinary colour.  The colour of a fluorescent material should be measured with any protective surface that is normally used with the material.</w:t>
      </w:r>
    </w:p>
    <w:p w:rsidR="00F176ED" w:rsidRDefault="00F176ED" w:rsidP="00F176ED">
      <w:pPr>
        <w:pStyle w:val="BodyText"/>
      </w:pPr>
      <w:r>
        <w:t>The boundary lines of a chromaticity region, and the restrictions that may apply to the appropriate luminance factor, can together be referred to as the colour limits of a colour.  The recommended colour limits are extreme values that should not be transgrested (except as mentioned in 3.1, 3.4, 3.5 and 3.6).  More restrictive limits may be defined as appropriate to particular requirements; and they may be desirable for the signal colours used within one signalling system if substantial differences in appearance, either of chromaticity or luminance factor, are to be avoided.  Also, the recommended colour limits of a colour are intended to apply throughout its entire service life, so examination of its condition may be required from time to time.</w:t>
      </w:r>
    </w:p>
    <w:p w:rsidR="00F176ED" w:rsidRDefault="00F176ED" w:rsidP="00F176ED">
      <w:pPr>
        <w:rPr>
          <w:lang w:eastAsia="de-DE"/>
        </w:rPr>
      </w:pPr>
      <w:r>
        <w:t>It should be noted that, with the exception of the purple boundary of Red, the specifications have not been designed to assist people with severely defective colour vision, most of whom will have great difficulty distinguishing between Red and Green.</w:t>
      </w:r>
    </w:p>
    <w:p w:rsidR="00F176ED" w:rsidRDefault="00F176ED" w:rsidP="00F176ED">
      <w:pPr>
        <w:pStyle w:val="Heading1"/>
      </w:pPr>
      <w:bookmarkStart w:id="13" w:name="_Toc240332631"/>
      <w:bookmarkStart w:id="14" w:name="_Toc240354403"/>
      <w:r>
        <w:t>CONSIDERATIONS OF PARTICULAR COLOURS</w:t>
      </w:r>
      <w:bookmarkEnd w:id="13"/>
      <w:bookmarkEnd w:id="14"/>
    </w:p>
    <w:p w:rsidR="00F176ED" w:rsidRPr="00552C84" w:rsidRDefault="00F176ED" w:rsidP="00F176ED">
      <w:pPr>
        <w:pStyle w:val="Heading2"/>
        <w:keepNext/>
        <w:tabs>
          <w:tab w:val="clear" w:pos="851"/>
          <w:tab w:val="num" w:pos="576"/>
        </w:tabs>
        <w:spacing w:before="240" w:after="60"/>
        <w:ind w:left="576" w:hanging="576"/>
      </w:pPr>
      <w:bookmarkStart w:id="15" w:name="_Toc240332632"/>
      <w:bookmarkStart w:id="16" w:name="_Toc240354404"/>
      <w:r w:rsidRPr="00552C84">
        <w:t>Red</w:t>
      </w:r>
      <w:bookmarkEnd w:id="15"/>
      <w:bookmarkEnd w:id="16"/>
    </w:p>
    <w:p w:rsidR="00F176ED" w:rsidRDefault="00F176ED" w:rsidP="00F176ED">
      <w:pPr>
        <w:pStyle w:val="BodyText"/>
      </w:pPr>
      <w:r>
        <w:t>A minimum value of 0.07 is specified in Table 1 for the luminance factor of ordinary Red, but significantly higher values can usually be realized and, in most circumstances, a value greater than 0.10 should be maintained.</w:t>
      </w:r>
    </w:p>
    <w:p w:rsidR="00F176ED" w:rsidRDefault="00F176ED" w:rsidP="00F176ED">
      <w:pPr>
        <w:pStyle w:val="BodyText"/>
      </w:pPr>
      <w:r>
        <w:lastRenderedPageBreak/>
        <w:t>The chromaticity region of Red, which is identical for both ordinary and fluorescent colours, has been defined on the basis of achieving a very high probability of correct recognition for the colour, and it should prove to be quite practicable for ordinary reds with glossy surfaces and for fluorescent reds. There is doubt though, if their surfaces are matt or even semi-matt, whether serviceable materials of various kinds can always be manufactured in compliance with the restriction imposed by the white boundary of the chromaticity region for ordinary Red. Also, it is not yet certain that serviceable materials, with glossy surfaces when new, can necessarily be manufactured so that their compliance continues throughout a reasonable service life if considerable loss of gloss occurs. Therefore, it is proposed that the chromaticity region for ordinary Red may be extended, but only for materials with matt or semi-matt surfaces , to a revised white boundary of y=0.840 – x. This provision for ordinary red colours should not be used unless it is necessary, and then only with the understanding that the probability of correct recognition of the colour will be significantly reduced. The problem discussed here is not expected to arise with any of the other chromatic colours.</w:t>
      </w:r>
    </w:p>
    <w:p w:rsidR="00F176ED" w:rsidRPr="00824157" w:rsidRDefault="00F176ED" w:rsidP="00F176ED">
      <w:pPr>
        <w:pStyle w:val="Heading2"/>
        <w:keepNext/>
        <w:tabs>
          <w:tab w:val="clear" w:pos="851"/>
          <w:tab w:val="num" w:pos="576"/>
        </w:tabs>
        <w:spacing w:before="240" w:after="60"/>
        <w:ind w:left="576" w:hanging="576"/>
      </w:pPr>
      <w:bookmarkStart w:id="17" w:name="_Toc240332633"/>
      <w:bookmarkStart w:id="18" w:name="_Toc240354405"/>
      <w:r>
        <w:t>Orange</w:t>
      </w:r>
      <w:bookmarkEnd w:id="17"/>
      <w:bookmarkEnd w:id="18"/>
    </w:p>
    <w:p w:rsidR="00F176ED" w:rsidRDefault="00F176ED" w:rsidP="00F176ED">
      <w:pPr>
        <w:pStyle w:val="BodyText"/>
      </w:pPr>
      <w:r>
        <w:t>The probability of correct recognition of orange is usually not as high as that of red or yellow; moreover, when these colours subtend very small visual angles, orange and red, or orange and yellow, are very likely to be confused. Hence, in considering signal colours that need to be recognized at a distance, orange does not provide a satisfactory additional colour to a system that includes red and yellow. If orange is completely excluded from a system of signal colours for aids to navigation, the adjacent hue boundaries of Red and Yellow should remain as recommended in the Tables, since, otherwise, correct identification may not be made even at close ranges and the colours will not exhibit a reasonably consistent appearance world-wide.</w:t>
      </w:r>
    </w:p>
    <w:p w:rsidR="00F176ED" w:rsidRDefault="00F176ED" w:rsidP="00F176ED">
      <w:pPr>
        <w:pStyle w:val="BodyText"/>
      </w:pPr>
      <w:r>
        <w:t xml:space="preserve">Nevertheless, orange is probably the best ordinary colour for conspicuity against the sea, and it should preferably be reserved for those objects for which detection in the water is more important than recognition of their colours. The objects that require this consideration are items of emergency equipment, such as life-jackets and life rafts. The highest conspicuity will be obtained with fluorescent colours, and then fluorescent red-orange may be used and may, in some situations, be more conspicuous than fluorescent. </w:t>
      </w:r>
      <w:smartTag w:uri="urn:schemas-microsoft-com:office:smarttags" w:element="place">
        <w:smartTag w:uri="urn:schemas-microsoft-com:office:smarttags" w:element="City">
          <w:r>
            <w:t>Orange</w:t>
          </w:r>
        </w:smartTag>
      </w:smartTag>
      <w:r>
        <w:t>, but fluorescent red-orange is not likely to be seen as distinct from fluorescent Red.</w:t>
      </w:r>
    </w:p>
    <w:p w:rsidR="00F176ED" w:rsidRPr="00824157" w:rsidRDefault="00F176ED" w:rsidP="00F176ED">
      <w:pPr>
        <w:pStyle w:val="Heading2"/>
        <w:keepNext/>
        <w:tabs>
          <w:tab w:val="clear" w:pos="851"/>
          <w:tab w:val="num" w:pos="576"/>
        </w:tabs>
        <w:spacing w:before="240" w:after="60"/>
        <w:ind w:left="576" w:hanging="576"/>
      </w:pPr>
      <w:bookmarkStart w:id="19" w:name="_Toc240332634"/>
      <w:bookmarkStart w:id="20" w:name="_Toc240354406"/>
      <w:r>
        <w:t>Yellow and White</w:t>
      </w:r>
      <w:bookmarkEnd w:id="19"/>
      <w:bookmarkEnd w:id="20"/>
    </w:p>
    <w:p w:rsidR="00F176ED" w:rsidRDefault="00F176ED" w:rsidP="00F176ED">
      <w:pPr>
        <w:pStyle w:val="BodyText"/>
      </w:pPr>
      <w:r>
        <w:t>Discrimination between yellow and white is nor practicable when they subtend very small visual angles, so they should not be considered as separate colours except for close viewing. In particular, it would be inadvisable to create any circumstances that required unequivocal distinction between yellow and white in retroreflecting materials, whether by day or by night.</w:t>
      </w:r>
    </w:p>
    <w:p w:rsidR="00F176ED" w:rsidRDefault="00F176ED" w:rsidP="00F176ED">
      <w:pPr>
        <w:pStyle w:val="BodyText"/>
      </w:pPr>
      <w:r>
        <w:t>At sea, the probability of recognizing, or even detecting, white on its own will often be low.</w:t>
      </w:r>
    </w:p>
    <w:p w:rsidR="00F176ED" w:rsidRDefault="00F176ED" w:rsidP="00F176ED">
      <w:pPr>
        <w:pStyle w:val="Heading2"/>
        <w:keepNext/>
        <w:tabs>
          <w:tab w:val="clear" w:pos="851"/>
          <w:tab w:val="num" w:pos="576"/>
        </w:tabs>
        <w:spacing w:before="240" w:after="60"/>
        <w:ind w:left="576" w:hanging="576"/>
      </w:pPr>
      <w:bookmarkStart w:id="21" w:name="_Toc240332635"/>
      <w:bookmarkStart w:id="22" w:name="_Toc240354407"/>
      <w:r>
        <w:t>Green</w:t>
      </w:r>
      <w:bookmarkEnd w:id="21"/>
      <w:bookmarkEnd w:id="22"/>
    </w:p>
    <w:p w:rsidR="00F176ED" w:rsidRDefault="00F176ED" w:rsidP="00F176ED">
      <w:pPr>
        <w:pStyle w:val="BodyText"/>
      </w:pPr>
      <w:r>
        <w:t>As an ordinary colour, green does not usually show well at sea. However, colours of fluorescent Green can be obtained with exceptionally high purities, and they will be very much more recognizable in most conditions.</w:t>
      </w:r>
    </w:p>
    <w:p w:rsidR="00F176ED" w:rsidRDefault="00F176ED" w:rsidP="00F176ED">
      <w:pPr>
        <w:pStyle w:val="BodyText"/>
      </w:pPr>
      <w:r>
        <w:t>It may be desirable, if green is required as a background colour on a sign with symbols or alphanumeric characters, to use a special dark colour – for example, one having a value of luminance factor lower than the minimum value recommended in Table 1. There is a possibility of confusing green with blue at the blue boundary of the green colour. To avoid this, IALA has introduced an IALA preferred green zone. This is shown on the chromaticity regions graph and associated tables.</w:t>
      </w:r>
    </w:p>
    <w:p w:rsidR="00F176ED" w:rsidRDefault="00F176ED" w:rsidP="00F176ED">
      <w:pPr>
        <w:pStyle w:val="Heading2"/>
        <w:keepNext/>
        <w:tabs>
          <w:tab w:val="clear" w:pos="851"/>
          <w:tab w:val="num" w:pos="576"/>
        </w:tabs>
        <w:spacing w:before="240" w:after="60"/>
        <w:ind w:left="576" w:hanging="576"/>
      </w:pPr>
      <w:bookmarkStart w:id="23" w:name="_Toc240332636"/>
      <w:bookmarkStart w:id="24" w:name="_Toc240354408"/>
      <w:r>
        <w:t>Blue</w:t>
      </w:r>
      <w:bookmarkEnd w:id="23"/>
      <w:bookmarkEnd w:id="24"/>
    </w:p>
    <w:p w:rsidR="00F176ED" w:rsidRDefault="00F176ED" w:rsidP="00F176ED">
      <w:pPr>
        <w:pStyle w:val="BodyText"/>
      </w:pPr>
      <w:r>
        <w:t>On inland waterways, and in estuaries and harbours, where colours may be seen at close range, Blue may prove to be a useful signal colour; but, at a distance, particularly at sea, it is unlikely to be easily recognized.</w:t>
      </w:r>
    </w:p>
    <w:p w:rsidR="00F176ED" w:rsidRDefault="00F176ED" w:rsidP="00F176ED">
      <w:pPr>
        <w:pStyle w:val="BodyText"/>
      </w:pPr>
      <w:r>
        <w:lastRenderedPageBreak/>
        <w:t>Although the recommended value of minimum luminance factor is Table 1 is 0.07, values significantly higher are attainable, and they should be required whenever possible if Blue is to be seen alone.</w:t>
      </w:r>
    </w:p>
    <w:p w:rsidR="00F176ED" w:rsidRDefault="00F176ED" w:rsidP="00F176ED">
      <w:pPr>
        <w:pStyle w:val="BodyText"/>
      </w:pPr>
      <w:r>
        <w:t xml:space="preserve">It may be desirable, if blue is required as a background colour on signs with symbols or alphanumeric character, to use a special dark colour, that is, one having a value of luminance factor lower than the minimum value recommended in Table </w:t>
      </w:r>
      <w:smartTag w:uri="urn:schemas-microsoft-com:office:smarttags" w:element="metricconverter">
        <w:smartTagPr>
          <w:attr w:name="ProductID" w:val="1. in"/>
        </w:smartTagPr>
        <w:r>
          <w:t>1. in</w:t>
        </w:r>
      </w:smartTag>
      <w:r>
        <w:t xml:space="preserve"> such circumstances, a value as low as 0.05 may be considered for this special dark blue, which should anyway have a chromaticity conforming with the specification for ordinary Blue, and which should never be used alone anywhere as signal colour.</w:t>
      </w:r>
    </w:p>
    <w:p w:rsidR="00F176ED" w:rsidRDefault="00F176ED" w:rsidP="00F176ED">
      <w:pPr>
        <w:pStyle w:val="Heading2"/>
        <w:keepNext/>
        <w:tabs>
          <w:tab w:val="clear" w:pos="851"/>
          <w:tab w:val="num" w:pos="576"/>
        </w:tabs>
        <w:spacing w:before="240" w:after="60"/>
        <w:ind w:left="576" w:hanging="576"/>
      </w:pPr>
      <w:bookmarkStart w:id="25" w:name="_Toc240332637"/>
      <w:bookmarkStart w:id="26" w:name="_Toc240354409"/>
      <w:r>
        <w:t>Black</w:t>
      </w:r>
      <w:bookmarkEnd w:id="25"/>
      <w:bookmarkEnd w:id="26"/>
    </w:p>
    <w:p w:rsidR="00F176ED" w:rsidRDefault="00F176ED" w:rsidP="00F176ED">
      <w:pPr>
        <w:pStyle w:val="BodyText"/>
      </w:pPr>
      <w:r>
        <w:t>A maximum value of 0.03, as specified in Table 1 is recommended for the luminance factor of ordinary black if surfaces are glossy, but, if surfaces are matt or semi-matt, then it may be necessary to allow a maximum value of 0.04 although the probability of correct recognition will thereby be lowered.</w:t>
      </w:r>
    </w:p>
    <w:p w:rsidR="00F176ED" w:rsidRDefault="00F176ED" w:rsidP="00F176ED">
      <w:pPr>
        <w:pStyle w:val="Heading1"/>
      </w:pPr>
      <w:bookmarkStart w:id="27" w:name="_Toc240332638"/>
      <w:bookmarkStart w:id="28" w:name="_Toc240354410"/>
      <w:r>
        <w:t>SYMBOLS AND ALPHANUMERIC CHARACTERS</w:t>
      </w:r>
      <w:bookmarkEnd w:id="27"/>
      <w:bookmarkEnd w:id="28"/>
    </w:p>
    <w:p w:rsidR="00F176ED" w:rsidRDefault="00F176ED" w:rsidP="00F176ED">
      <w:pPr>
        <w:pStyle w:val="BodyText"/>
        <w:rPr>
          <w:lang w:eastAsia="en-GB"/>
        </w:rPr>
      </w:pPr>
      <w:r>
        <w:t>Good legibility requires that symbols and alphanumeric characters should have a good contrast with the colours against which they are seen.  A contrast of luminance factors is usually of more advantage than one of hues, and the ratio of the luminance factors should be made as large as is possible. Thus Black should be applied on Yellow, and, in general, White should be used on Red, Green or Blue. However, if the luminance factors of Red or Green are particularly high, as they may be if these colours are fluorescent, then a contrast of Black may be more satisfactory. Sometimes a symbol or an alphanumeric character may be clearer if it is outlined in a contrasting colour or is shown on a distinct panel of contrasting colour.</w:t>
      </w:r>
    </w:p>
    <w:p w:rsidR="00F176ED" w:rsidRDefault="00F176ED" w:rsidP="00F176ED">
      <w:pPr>
        <w:pStyle w:val="Heading1"/>
      </w:pPr>
      <w:bookmarkStart w:id="29" w:name="_Toc240332639"/>
      <w:bookmarkStart w:id="30" w:name="_Toc240354411"/>
      <w:r>
        <w:t>COLOURS OF RETROREFLECTING MATERIALS</w:t>
      </w:r>
      <w:bookmarkEnd w:id="29"/>
      <w:bookmarkEnd w:id="30"/>
    </w:p>
    <w:p w:rsidR="00F176ED" w:rsidRDefault="00F176ED" w:rsidP="00F176ED">
      <w:pPr>
        <w:pStyle w:val="BodyText"/>
        <w:rPr>
          <w:lang w:eastAsia="en-GB"/>
        </w:rPr>
      </w:pPr>
      <w:r>
        <w:t>Two different specifications for the colours of retro-reflecting materials are required if the colours are to be defined adequately for the purposes of this document.  The specifications need to define the colours for conditions of illumination that are representative of those occurring both by day and by night.  With regard to this document, a specification of the colours for night-time conditions is unquestionably the more useful, but the methods of measurement have not yet been internationally resolved.  A specification of the colours for daytime conditions has been undertaken by the CIE.  A particular problem with a specification for daytime conditions relates to the geometry of measurement and the limits of the luminance factors. IALA Recommendation E-106 (May 1998) for the use of retro-reflecting material on aids to navigation marks within the IALA Maritime Buoyage System refers.</w:t>
      </w:r>
    </w:p>
    <w:p w:rsidR="00F176ED" w:rsidRDefault="00F176ED" w:rsidP="00E22226">
      <w:pPr>
        <w:rPr>
          <w:lang w:eastAsia="en-GB"/>
        </w:rPr>
      </w:pPr>
    </w:p>
    <w:p w:rsidR="00186A27" w:rsidRPr="00F16EB2" w:rsidRDefault="00186A27" w:rsidP="00186A27">
      <w:pPr>
        <w:pStyle w:val="BodyText2"/>
        <w:ind w:left="0"/>
        <w:rPr>
          <w:highlight w:val="yellow"/>
        </w:rPr>
      </w:pPr>
      <w:r>
        <w:rPr>
          <w:lang w:eastAsia="en-GB"/>
        </w:rPr>
        <w:br w:type="page"/>
      </w:r>
      <w:r w:rsidRPr="00F16EB2">
        <w:rPr>
          <w:highlight w:val="yellow"/>
        </w:rPr>
        <w:lastRenderedPageBreak/>
        <w:t>Recommended regions for the ordinary colours specified in Table 1, the coordinates of the corner points being provided in Table 2.</w:t>
      </w:r>
    </w:p>
    <w:p w:rsidR="00186A27" w:rsidRPr="00F16EB2" w:rsidRDefault="00612061" w:rsidP="00186A27">
      <w:pPr>
        <w:pStyle w:val="BodyText2"/>
        <w:ind w:left="0"/>
        <w:rPr>
          <w:highlight w:val="yellow"/>
        </w:rPr>
      </w:pPr>
      <w:r w:rsidRPr="00612061">
        <w:rPr>
          <w:highlight w:val="yellow"/>
        </w:rPr>
        <w:pict>
          <v:shape id="_x0000_i1025" type="#_x0000_t75" style="width:414.6pt;height:453.5pt">
            <v:imagedata r:id="rId11" o:title=""/>
          </v:shape>
        </w:pict>
      </w:r>
    </w:p>
    <w:p w:rsidR="00186A27" w:rsidRPr="00186A27" w:rsidRDefault="00186A27" w:rsidP="00186A27">
      <w:pPr>
        <w:pStyle w:val="Figure"/>
        <w:rPr>
          <w:highlight w:val="yellow"/>
        </w:rPr>
      </w:pPr>
      <w:bookmarkStart w:id="31" w:name="_Toc240354428"/>
      <w:r w:rsidRPr="00186A27">
        <w:rPr>
          <w:highlight w:val="yellow"/>
        </w:rPr>
        <w:t>Chromaticity regions for ordinary colours</w:t>
      </w:r>
      <w:bookmarkEnd w:id="31"/>
    </w:p>
    <w:p w:rsidR="00F176ED" w:rsidRDefault="00F176ED" w:rsidP="00E22226">
      <w:pPr>
        <w:rPr>
          <w:lang w:eastAsia="en-GB"/>
        </w:rPr>
      </w:pPr>
    </w:p>
    <w:p w:rsidR="00186A27" w:rsidRPr="00F16EB2" w:rsidRDefault="00186A27" w:rsidP="00186A27">
      <w:pPr>
        <w:pStyle w:val="BodyText"/>
        <w:rPr>
          <w:highlight w:val="yellow"/>
        </w:rPr>
      </w:pPr>
      <w:r>
        <w:rPr>
          <w:lang w:eastAsia="en-GB"/>
        </w:rPr>
        <w:br w:type="page"/>
      </w:r>
      <w:r w:rsidRPr="00F16EB2">
        <w:rPr>
          <w:highlight w:val="yellow"/>
        </w:rPr>
        <w:lastRenderedPageBreak/>
        <w:t>Recommended regions for the fluorescent colours specified in Table 3, the coordinate of the corner points being provided in Table 4.</w:t>
      </w:r>
    </w:p>
    <w:p w:rsidR="00186A27" w:rsidRPr="00F16EB2" w:rsidRDefault="00612061" w:rsidP="00186A27">
      <w:pPr>
        <w:rPr>
          <w:szCs w:val="22"/>
          <w:highlight w:val="yellow"/>
        </w:rPr>
      </w:pPr>
      <w:r w:rsidRPr="00612061">
        <w:rPr>
          <w:highlight w:val="yellow"/>
        </w:rPr>
        <w:pict>
          <v:shape id="_x0000_i1026" type="#_x0000_t75" style="width:414.6pt;height:453.5pt">
            <v:imagedata r:id="rId12" o:title=""/>
          </v:shape>
        </w:pict>
      </w:r>
    </w:p>
    <w:p w:rsidR="00F176ED" w:rsidRPr="00186A27" w:rsidRDefault="00186A27" w:rsidP="00186A27">
      <w:pPr>
        <w:pStyle w:val="Figure"/>
        <w:rPr>
          <w:highlight w:val="yellow"/>
        </w:rPr>
      </w:pPr>
      <w:bookmarkStart w:id="32" w:name="_Toc240354429"/>
      <w:r w:rsidRPr="00186A27">
        <w:rPr>
          <w:highlight w:val="yellow"/>
        </w:rPr>
        <w:t>Chromaticity regions for fluorescent colours</w:t>
      </w:r>
      <w:bookmarkEnd w:id="32"/>
    </w:p>
    <w:p w:rsidR="00F176ED" w:rsidRDefault="00F176ED" w:rsidP="00E22226">
      <w:pPr>
        <w:rPr>
          <w:lang w:eastAsia="en-GB"/>
        </w:rPr>
      </w:pPr>
    </w:p>
    <w:p w:rsidR="00186A27" w:rsidRDefault="00186A27" w:rsidP="00186A27">
      <w:pPr>
        <w:pStyle w:val="BodyText"/>
      </w:pPr>
      <w:r>
        <w:rPr>
          <w:b/>
        </w:rPr>
        <w:br w:type="page"/>
      </w:r>
      <w:r w:rsidRPr="00444739">
        <w:lastRenderedPageBreak/>
        <w:t>Recommended limits of ordinary Colours in terms of CIE Recommendations No. 39-2, 1983 for surface colours for visual signalling, including IALA preferred Regions where applicable.</w:t>
      </w:r>
    </w:p>
    <w:p w:rsidR="00186A27" w:rsidRPr="00444739" w:rsidRDefault="00186A27" w:rsidP="00186A27">
      <w:pPr>
        <w:pStyle w:val="Table"/>
      </w:pPr>
      <w:bookmarkStart w:id="33" w:name="_Toc240354422"/>
      <w:r w:rsidRPr="00444739">
        <w:t>Specification of Ordinary Colours</w:t>
      </w:r>
      <w:bookmarkEnd w:id="3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1628"/>
        <w:gridCol w:w="1701"/>
        <w:gridCol w:w="1689"/>
        <w:gridCol w:w="1690"/>
      </w:tblGrid>
      <w:tr w:rsidR="00186A27" w:rsidRPr="00186A27" w:rsidTr="00186A27">
        <w:trPr>
          <w:jc w:val="center"/>
        </w:trPr>
        <w:tc>
          <w:tcPr>
            <w:tcW w:w="1008" w:type="dxa"/>
            <w:vMerge w:val="restart"/>
          </w:tcPr>
          <w:p w:rsidR="00186A27" w:rsidRPr="00186A27" w:rsidRDefault="00186A27" w:rsidP="00186A27">
            <w:pPr>
              <w:pStyle w:val="BodyText"/>
              <w:jc w:val="center"/>
              <w:rPr>
                <w:szCs w:val="22"/>
              </w:rPr>
            </w:pPr>
            <w:r w:rsidRPr="00186A27">
              <w:rPr>
                <w:szCs w:val="22"/>
              </w:rPr>
              <w:t>Colour</w:t>
            </w:r>
          </w:p>
        </w:tc>
        <w:tc>
          <w:tcPr>
            <w:tcW w:w="1628" w:type="dxa"/>
            <w:vMerge w:val="restart"/>
          </w:tcPr>
          <w:p w:rsidR="00186A27" w:rsidRPr="00186A27" w:rsidRDefault="00186A27" w:rsidP="00186A27">
            <w:pPr>
              <w:pStyle w:val="BodyText"/>
              <w:jc w:val="center"/>
              <w:rPr>
                <w:szCs w:val="22"/>
              </w:rPr>
            </w:pPr>
            <w:r w:rsidRPr="00186A27">
              <w:rPr>
                <w:szCs w:val="22"/>
              </w:rPr>
              <w:t>Boundary</w:t>
            </w:r>
          </w:p>
        </w:tc>
        <w:tc>
          <w:tcPr>
            <w:tcW w:w="1701" w:type="dxa"/>
            <w:vMerge w:val="restart"/>
          </w:tcPr>
          <w:p w:rsidR="00186A27" w:rsidRPr="00186A27" w:rsidRDefault="00186A27" w:rsidP="00186A27">
            <w:pPr>
              <w:pStyle w:val="BodyText"/>
              <w:jc w:val="center"/>
              <w:rPr>
                <w:szCs w:val="22"/>
              </w:rPr>
            </w:pPr>
            <w:r w:rsidRPr="00186A27">
              <w:rPr>
                <w:szCs w:val="22"/>
              </w:rPr>
              <w:t>Equation of the boundary limits</w:t>
            </w:r>
          </w:p>
        </w:tc>
        <w:tc>
          <w:tcPr>
            <w:tcW w:w="3379" w:type="dxa"/>
            <w:gridSpan w:val="2"/>
          </w:tcPr>
          <w:p w:rsidR="00186A27" w:rsidRPr="00186A27" w:rsidRDefault="00186A27" w:rsidP="00186A27">
            <w:pPr>
              <w:pStyle w:val="BodyText"/>
              <w:jc w:val="center"/>
              <w:rPr>
                <w:szCs w:val="22"/>
              </w:rPr>
            </w:pPr>
            <w:r w:rsidRPr="00186A27">
              <w:rPr>
                <w:szCs w:val="22"/>
              </w:rPr>
              <w:t>Luminance factor</w:t>
            </w:r>
          </w:p>
        </w:tc>
      </w:tr>
      <w:tr w:rsidR="00186A27" w:rsidRPr="00186A27" w:rsidTr="00186A27">
        <w:trPr>
          <w:jc w:val="center"/>
        </w:trPr>
        <w:tc>
          <w:tcPr>
            <w:tcW w:w="1008" w:type="dxa"/>
            <w:vMerge/>
          </w:tcPr>
          <w:p w:rsidR="00186A27" w:rsidRPr="00186A27" w:rsidRDefault="00186A27" w:rsidP="00186A27">
            <w:pPr>
              <w:pStyle w:val="BodyText"/>
              <w:jc w:val="center"/>
              <w:rPr>
                <w:szCs w:val="22"/>
              </w:rPr>
            </w:pPr>
          </w:p>
        </w:tc>
        <w:tc>
          <w:tcPr>
            <w:tcW w:w="1628" w:type="dxa"/>
            <w:vMerge/>
          </w:tcPr>
          <w:p w:rsidR="00186A27" w:rsidRPr="00186A27" w:rsidRDefault="00186A27" w:rsidP="00D77043">
            <w:pPr>
              <w:pStyle w:val="BodyText"/>
              <w:rPr>
                <w:szCs w:val="22"/>
              </w:rPr>
            </w:pPr>
          </w:p>
        </w:tc>
        <w:tc>
          <w:tcPr>
            <w:tcW w:w="1701" w:type="dxa"/>
            <w:vMerge/>
          </w:tcPr>
          <w:p w:rsidR="00186A27" w:rsidRPr="00186A27" w:rsidRDefault="00186A27" w:rsidP="00186A27">
            <w:pPr>
              <w:pStyle w:val="BodyText"/>
              <w:jc w:val="center"/>
              <w:rPr>
                <w:szCs w:val="22"/>
              </w:rPr>
            </w:pPr>
          </w:p>
        </w:tc>
        <w:tc>
          <w:tcPr>
            <w:tcW w:w="1689" w:type="dxa"/>
          </w:tcPr>
          <w:p w:rsidR="00186A27" w:rsidRPr="00186A27" w:rsidRDefault="00186A27" w:rsidP="00186A27">
            <w:pPr>
              <w:pStyle w:val="BodyText"/>
              <w:jc w:val="center"/>
              <w:rPr>
                <w:szCs w:val="22"/>
              </w:rPr>
            </w:pPr>
            <w:r w:rsidRPr="00186A27">
              <w:rPr>
                <w:szCs w:val="22"/>
              </w:rPr>
              <w:t>Minimum</w:t>
            </w:r>
          </w:p>
        </w:tc>
        <w:tc>
          <w:tcPr>
            <w:tcW w:w="1690" w:type="dxa"/>
          </w:tcPr>
          <w:p w:rsidR="00186A27" w:rsidRPr="00186A27" w:rsidRDefault="00186A27" w:rsidP="00186A27">
            <w:pPr>
              <w:pStyle w:val="BodyText"/>
              <w:jc w:val="center"/>
              <w:rPr>
                <w:szCs w:val="22"/>
              </w:rPr>
            </w:pPr>
            <w:r w:rsidRPr="00186A27">
              <w:rPr>
                <w:szCs w:val="22"/>
              </w:rPr>
              <w:t>Maximum</w:t>
            </w:r>
          </w:p>
        </w:tc>
      </w:tr>
      <w:tr w:rsidR="00186A27" w:rsidRPr="00186A27" w:rsidTr="00186A27">
        <w:trPr>
          <w:jc w:val="center"/>
        </w:trPr>
        <w:tc>
          <w:tcPr>
            <w:tcW w:w="1008" w:type="dxa"/>
            <w:vAlign w:val="center"/>
          </w:tcPr>
          <w:p w:rsidR="00186A27" w:rsidRPr="00186A27" w:rsidRDefault="00186A27" w:rsidP="00186A27">
            <w:pPr>
              <w:pStyle w:val="BodyText"/>
              <w:jc w:val="center"/>
              <w:rPr>
                <w:szCs w:val="22"/>
              </w:rPr>
            </w:pPr>
            <w:r w:rsidRPr="00186A27">
              <w:rPr>
                <w:szCs w:val="22"/>
              </w:rPr>
              <w:t>Red</w:t>
            </w:r>
          </w:p>
        </w:tc>
        <w:tc>
          <w:tcPr>
            <w:tcW w:w="1628" w:type="dxa"/>
          </w:tcPr>
          <w:p w:rsidR="00186A27" w:rsidRPr="00186A27" w:rsidRDefault="00186A27" w:rsidP="00186A27">
            <w:pPr>
              <w:pStyle w:val="BodyText"/>
              <w:jc w:val="center"/>
              <w:rPr>
                <w:sz w:val="18"/>
                <w:szCs w:val="18"/>
              </w:rPr>
            </w:pPr>
            <w:r w:rsidRPr="00186A27">
              <w:rPr>
                <w:sz w:val="18"/>
                <w:szCs w:val="18"/>
              </w:rPr>
              <w:t>Purple</w:t>
            </w:r>
            <w:r w:rsidRPr="00186A27">
              <w:rPr>
                <w:sz w:val="18"/>
                <w:szCs w:val="18"/>
              </w:rPr>
              <w:br/>
              <w:t>White</w:t>
            </w:r>
            <w:r w:rsidRPr="00186A27">
              <w:rPr>
                <w:sz w:val="18"/>
                <w:szCs w:val="18"/>
              </w:rPr>
              <w:br/>
              <w:t>Orange</w:t>
            </w:r>
          </w:p>
        </w:tc>
        <w:tc>
          <w:tcPr>
            <w:tcW w:w="1701" w:type="dxa"/>
          </w:tcPr>
          <w:p w:rsidR="00186A27" w:rsidRPr="00186A27" w:rsidRDefault="00186A27" w:rsidP="00186A27">
            <w:pPr>
              <w:autoSpaceDE w:val="0"/>
              <w:autoSpaceDN w:val="0"/>
              <w:adjustRightInd w:val="0"/>
              <w:rPr>
                <w:i/>
                <w:iCs/>
                <w:sz w:val="18"/>
                <w:szCs w:val="18"/>
                <w:lang w:val="de-DE" w:eastAsia="de-DE"/>
              </w:rPr>
            </w:pPr>
            <w:r w:rsidRPr="00186A27">
              <w:rPr>
                <w:i/>
                <w:iCs/>
                <w:sz w:val="18"/>
                <w:szCs w:val="18"/>
                <w:lang w:val="de-DE" w:eastAsia="de-DE"/>
              </w:rPr>
              <w:t xml:space="preserve">y </w:t>
            </w:r>
            <w:r w:rsidRPr="00186A27">
              <w:rPr>
                <w:sz w:val="18"/>
                <w:szCs w:val="18"/>
                <w:lang w:val="de-DE" w:eastAsia="de-DE"/>
              </w:rPr>
              <w:t xml:space="preserve">= 0.345 – 0.051 </w:t>
            </w:r>
            <w:r w:rsidRPr="00186A27">
              <w:rPr>
                <w:i/>
                <w:iCs/>
                <w:sz w:val="18"/>
                <w:szCs w:val="18"/>
                <w:lang w:val="de-DE" w:eastAsia="de-DE"/>
              </w:rPr>
              <w:t>x</w:t>
            </w:r>
          </w:p>
          <w:p w:rsidR="00186A27" w:rsidRPr="00186A27" w:rsidRDefault="00186A27" w:rsidP="00186A27">
            <w:pPr>
              <w:autoSpaceDE w:val="0"/>
              <w:autoSpaceDN w:val="0"/>
              <w:adjustRightInd w:val="0"/>
              <w:rPr>
                <w:i/>
                <w:iCs/>
                <w:sz w:val="18"/>
                <w:szCs w:val="18"/>
                <w:lang w:val="de-DE" w:eastAsia="de-DE"/>
              </w:rPr>
            </w:pPr>
            <w:r w:rsidRPr="00186A27">
              <w:rPr>
                <w:i/>
                <w:iCs/>
                <w:sz w:val="18"/>
                <w:szCs w:val="18"/>
                <w:lang w:val="de-DE" w:eastAsia="de-DE"/>
              </w:rPr>
              <w:t xml:space="preserve">y </w:t>
            </w:r>
            <w:r w:rsidRPr="00186A27">
              <w:rPr>
                <w:sz w:val="18"/>
                <w:szCs w:val="18"/>
                <w:lang w:val="de-DE" w:eastAsia="de-DE"/>
              </w:rPr>
              <w:t xml:space="preserve">= 0.910 – </w:t>
            </w:r>
            <w:r w:rsidRPr="00186A27">
              <w:rPr>
                <w:i/>
                <w:iCs/>
                <w:sz w:val="18"/>
                <w:szCs w:val="18"/>
                <w:lang w:val="de-DE" w:eastAsia="de-DE"/>
              </w:rPr>
              <w:t>x</w:t>
            </w:r>
          </w:p>
          <w:p w:rsidR="00186A27" w:rsidRPr="00186A27" w:rsidRDefault="00186A27" w:rsidP="00186A27">
            <w:pPr>
              <w:autoSpaceDE w:val="0"/>
              <w:autoSpaceDN w:val="0"/>
              <w:adjustRightInd w:val="0"/>
              <w:rPr>
                <w:rFonts w:ascii="TimesNewRoman,Italic" w:hAnsi="TimesNewRoman,Italic" w:cs="TimesNewRoman,Italic"/>
                <w:sz w:val="18"/>
                <w:szCs w:val="18"/>
                <w:lang w:val="de-DE" w:eastAsia="de-DE"/>
              </w:rPr>
            </w:pPr>
            <w:r w:rsidRPr="00186A27">
              <w:rPr>
                <w:i/>
                <w:iCs/>
                <w:sz w:val="18"/>
                <w:szCs w:val="18"/>
                <w:lang w:val="de-DE" w:eastAsia="de-DE"/>
              </w:rPr>
              <w:t xml:space="preserve">y </w:t>
            </w:r>
            <w:r w:rsidRPr="00186A27">
              <w:rPr>
                <w:sz w:val="18"/>
                <w:szCs w:val="18"/>
                <w:lang w:val="de-DE" w:eastAsia="de-DE"/>
              </w:rPr>
              <w:t xml:space="preserve">= 0.314 + 0.047 </w:t>
            </w:r>
            <w:r w:rsidRPr="00186A27">
              <w:rPr>
                <w:i/>
                <w:iCs/>
                <w:sz w:val="18"/>
                <w:szCs w:val="18"/>
                <w:lang w:val="de-DE" w:eastAsia="de-DE"/>
              </w:rPr>
              <w:t>x</w:t>
            </w:r>
          </w:p>
        </w:tc>
        <w:tc>
          <w:tcPr>
            <w:tcW w:w="1689" w:type="dxa"/>
            <w:vAlign w:val="center"/>
          </w:tcPr>
          <w:p w:rsidR="00186A27" w:rsidRPr="00186A27" w:rsidRDefault="00186A27" w:rsidP="00186A27">
            <w:pPr>
              <w:pStyle w:val="BodyText"/>
              <w:jc w:val="center"/>
              <w:rPr>
                <w:sz w:val="20"/>
                <w:szCs w:val="20"/>
              </w:rPr>
            </w:pPr>
            <w:r w:rsidRPr="00186A27">
              <w:rPr>
                <w:sz w:val="20"/>
                <w:szCs w:val="20"/>
              </w:rPr>
              <w:t>0.07</w:t>
            </w:r>
          </w:p>
        </w:tc>
        <w:tc>
          <w:tcPr>
            <w:tcW w:w="1690" w:type="dxa"/>
            <w:vAlign w:val="center"/>
          </w:tcPr>
          <w:p w:rsidR="00186A27" w:rsidRPr="00186A27" w:rsidRDefault="00186A27" w:rsidP="00186A27">
            <w:pPr>
              <w:pStyle w:val="BodyText"/>
              <w:jc w:val="center"/>
              <w:rPr>
                <w:sz w:val="20"/>
                <w:szCs w:val="20"/>
              </w:rPr>
            </w:pPr>
            <w:r w:rsidRPr="00186A27">
              <w:rPr>
                <w:sz w:val="20"/>
                <w:szCs w:val="20"/>
              </w:rPr>
              <w:t>-</w:t>
            </w:r>
          </w:p>
        </w:tc>
      </w:tr>
      <w:tr w:rsidR="00186A27" w:rsidRPr="00186A27" w:rsidTr="00186A27">
        <w:trPr>
          <w:jc w:val="center"/>
        </w:trPr>
        <w:tc>
          <w:tcPr>
            <w:tcW w:w="1008" w:type="dxa"/>
            <w:vAlign w:val="center"/>
          </w:tcPr>
          <w:p w:rsidR="00186A27" w:rsidRPr="00186A27" w:rsidRDefault="00186A27" w:rsidP="00186A27">
            <w:pPr>
              <w:pStyle w:val="BodyText"/>
              <w:jc w:val="center"/>
              <w:rPr>
                <w:szCs w:val="22"/>
              </w:rPr>
            </w:pPr>
            <w:r w:rsidRPr="00186A27">
              <w:rPr>
                <w:szCs w:val="22"/>
              </w:rPr>
              <w:t>Orange</w:t>
            </w:r>
          </w:p>
        </w:tc>
        <w:tc>
          <w:tcPr>
            <w:tcW w:w="1628" w:type="dxa"/>
          </w:tcPr>
          <w:p w:rsidR="00186A27" w:rsidRPr="00186A27" w:rsidRDefault="00186A27" w:rsidP="00186A27">
            <w:pPr>
              <w:pStyle w:val="BodyText"/>
              <w:jc w:val="center"/>
              <w:rPr>
                <w:sz w:val="18"/>
                <w:szCs w:val="18"/>
              </w:rPr>
            </w:pPr>
            <w:r w:rsidRPr="00186A27">
              <w:rPr>
                <w:sz w:val="18"/>
                <w:szCs w:val="18"/>
              </w:rPr>
              <w:t>Red</w:t>
            </w:r>
            <w:r w:rsidRPr="00186A27">
              <w:rPr>
                <w:sz w:val="18"/>
                <w:szCs w:val="18"/>
              </w:rPr>
              <w:br/>
              <w:t>White</w:t>
            </w:r>
            <w:r w:rsidRPr="00186A27">
              <w:rPr>
                <w:sz w:val="18"/>
                <w:szCs w:val="18"/>
              </w:rPr>
              <w:br/>
              <w:t>Yellow</w:t>
            </w:r>
          </w:p>
        </w:tc>
        <w:tc>
          <w:tcPr>
            <w:tcW w:w="1701" w:type="dxa"/>
          </w:tcPr>
          <w:p w:rsidR="00186A27" w:rsidRPr="00186A27" w:rsidRDefault="00186A27" w:rsidP="00186A27">
            <w:pPr>
              <w:pStyle w:val="BodyText"/>
              <w:jc w:val="left"/>
              <w:rPr>
                <w:sz w:val="18"/>
                <w:szCs w:val="18"/>
              </w:rPr>
            </w:pPr>
            <w:r w:rsidRPr="00186A27">
              <w:rPr>
                <w:sz w:val="18"/>
                <w:szCs w:val="18"/>
              </w:rPr>
              <w:t>y = 0.265 + 0.205 x</w:t>
            </w:r>
            <w:r w:rsidRPr="00186A27">
              <w:rPr>
                <w:sz w:val="18"/>
                <w:szCs w:val="18"/>
              </w:rPr>
              <w:br/>
              <w:t>y = 0.910 – x</w:t>
            </w:r>
            <w:r w:rsidRPr="00186A27">
              <w:rPr>
                <w:sz w:val="18"/>
                <w:szCs w:val="18"/>
              </w:rPr>
              <w:br/>
              <w:t>y = 0.207 + 0.390 x</w:t>
            </w:r>
          </w:p>
        </w:tc>
        <w:tc>
          <w:tcPr>
            <w:tcW w:w="1689" w:type="dxa"/>
            <w:vAlign w:val="center"/>
          </w:tcPr>
          <w:p w:rsidR="00186A27" w:rsidRPr="00186A27" w:rsidRDefault="00186A27" w:rsidP="00186A27">
            <w:pPr>
              <w:pStyle w:val="BodyText"/>
              <w:jc w:val="center"/>
              <w:rPr>
                <w:sz w:val="20"/>
                <w:szCs w:val="20"/>
              </w:rPr>
            </w:pPr>
            <w:r w:rsidRPr="00186A27">
              <w:rPr>
                <w:sz w:val="20"/>
                <w:szCs w:val="20"/>
              </w:rPr>
              <w:t>0.20</w:t>
            </w:r>
          </w:p>
        </w:tc>
        <w:tc>
          <w:tcPr>
            <w:tcW w:w="1690" w:type="dxa"/>
            <w:vAlign w:val="center"/>
          </w:tcPr>
          <w:p w:rsidR="00186A27" w:rsidRPr="00186A27" w:rsidRDefault="00186A27" w:rsidP="00186A27">
            <w:pPr>
              <w:pStyle w:val="BodyText"/>
              <w:jc w:val="center"/>
              <w:rPr>
                <w:sz w:val="20"/>
                <w:szCs w:val="20"/>
              </w:rPr>
            </w:pPr>
            <w:r w:rsidRPr="00186A27">
              <w:rPr>
                <w:sz w:val="20"/>
                <w:szCs w:val="20"/>
              </w:rPr>
              <w:t>-</w:t>
            </w:r>
          </w:p>
        </w:tc>
      </w:tr>
      <w:tr w:rsidR="00186A27" w:rsidRPr="00186A27" w:rsidTr="00186A27">
        <w:trPr>
          <w:jc w:val="center"/>
        </w:trPr>
        <w:tc>
          <w:tcPr>
            <w:tcW w:w="1008" w:type="dxa"/>
            <w:vAlign w:val="center"/>
          </w:tcPr>
          <w:p w:rsidR="00186A27" w:rsidRPr="00186A27" w:rsidRDefault="00186A27" w:rsidP="00186A27">
            <w:pPr>
              <w:pStyle w:val="BodyText"/>
              <w:jc w:val="center"/>
              <w:rPr>
                <w:szCs w:val="22"/>
              </w:rPr>
            </w:pPr>
            <w:r w:rsidRPr="00186A27">
              <w:rPr>
                <w:szCs w:val="22"/>
              </w:rPr>
              <w:t>Yellow</w:t>
            </w:r>
          </w:p>
        </w:tc>
        <w:tc>
          <w:tcPr>
            <w:tcW w:w="1628" w:type="dxa"/>
          </w:tcPr>
          <w:p w:rsidR="00186A27" w:rsidRPr="00186A27" w:rsidRDefault="00186A27" w:rsidP="00186A27">
            <w:pPr>
              <w:pStyle w:val="BodyText"/>
              <w:jc w:val="center"/>
              <w:rPr>
                <w:sz w:val="18"/>
                <w:szCs w:val="18"/>
              </w:rPr>
            </w:pPr>
            <w:r w:rsidRPr="00186A27">
              <w:rPr>
                <w:sz w:val="18"/>
                <w:szCs w:val="18"/>
              </w:rPr>
              <w:t>Orange</w:t>
            </w:r>
            <w:r w:rsidRPr="00186A27">
              <w:rPr>
                <w:sz w:val="18"/>
                <w:szCs w:val="18"/>
              </w:rPr>
              <w:br/>
              <w:t>White</w:t>
            </w:r>
            <w:r w:rsidRPr="00186A27">
              <w:rPr>
                <w:sz w:val="18"/>
                <w:szCs w:val="18"/>
              </w:rPr>
              <w:br/>
              <w:t>Green</w:t>
            </w:r>
          </w:p>
        </w:tc>
        <w:tc>
          <w:tcPr>
            <w:tcW w:w="1701" w:type="dxa"/>
          </w:tcPr>
          <w:p w:rsidR="00186A27" w:rsidRPr="00186A27" w:rsidRDefault="00186A27" w:rsidP="00186A27">
            <w:pPr>
              <w:autoSpaceDE w:val="0"/>
              <w:autoSpaceDN w:val="0"/>
              <w:adjustRightInd w:val="0"/>
              <w:rPr>
                <w:i/>
                <w:iCs/>
                <w:sz w:val="18"/>
                <w:szCs w:val="18"/>
                <w:lang w:eastAsia="de-DE"/>
              </w:rPr>
            </w:pPr>
            <w:r w:rsidRPr="00186A27">
              <w:rPr>
                <w:i/>
                <w:iCs/>
                <w:sz w:val="18"/>
                <w:szCs w:val="18"/>
                <w:lang w:eastAsia="de-DE"/>
              </w:rPr>
              <w:t xml:space="preserve">y </w:t>
            </w:r>
            <w:r w:rsidRPr="00186A27">
              <w:rPr>
                <w:sz w:val="18"/>
                <w:szCs w:val="18"/>
                <w:lang w:eastAsia="de-DE"/>
              </w:rPr>
              <w:t xml:space="preserve">= 0.108 + 0.707 </w:t>
            </w:r>
            <w:r w:rsidRPr="00186A27">
              <w:rPr>
                <w:i/>
                <w:iCs/>
                <w:sz w:val="18"/>
                <w:szCs w:val="18"/>
                <w:lang w:eastAsia="de-DE"/>
              </w:rPr>
              <w:t>x</w:t>
            </w:r>
          </w:p>
          <w:p w:rsidR="00186A27" w:rsidRPr="00186A27" w:rsidRDefault="00186A27" w:rsidP="00186A27">
            <w:pPr>
              <w:autoSpaceDE w:val="0"/>
              <w:autoSpaceDN w:val="0"/>
              <w:adjustRightInd w:val="0"/>
              <w:rPr>
                <w:i/>
                <w:iCs/>
                <w:sz w:val="18"/>
                <w:szCs w:val="18"/>
                <w:lang w:eastAsia="de-DE"/>
              </w:rPr>
            </w:pPr>
            <w:r w:rsidRPr="00186A27">
              <w:rPr>
                <w:i/>
                <w:iCs/>
                <w:sz w:val="18"/>
                <w:szCs w:val="18"/>
                <w:lang w:eastAsia="de-DE"/>
              </w:rPr>
              <w:t xml:space="preserve">y </w:t>
            </w:r>
            <w:r w:rsidRPr="00186A27">
              <w:rPr>
                <w:sz w:val="18"/>
                <w:szCs w:val="18"/>
                <w:lang w:eastAsia="de-DE"/>
              </w:rPr>
              <w:t xml:space="preserve">= 0.910 – </w:t>
            </w:r>
            <w:r w:rsidRPr="00186A27">
              <w:rPr>
                <w:i/>
                <w:iCs/>
                <w:sz w:val="18"/>
                <w:szCs w:val="18"/>
                <w:lang w:eastAsia="de-DE"/>
              </w:rPr>
              <w:t>x</w:t>
            </w:r>
          </w:p>
          <w:p w:rsidR="00186A27" w:rsidRPr="00186A27" w:rsidRDefault="00186A27" w:rsidP="00186A27">
            <w:pPr>
              <w:autoSpaceDE w:val="0"/>
              <w:autoSpaceDN w:val="0"/>
              <w:adjustRightInd w:val="0"/>
              <w:rPr>
                <w:sz w:val="18"/>
                <w:szCs w:val="18"/>
                <w:lang w:eastAsia="de-DE"/>
              </w:rPr>
            </w:pPr>
            <w:r w:rsidRPr="00186A27">
              <w:rPr>
                <w:i/>
                <w:iCs/>
                <w:sz w:val="18"/>
                <w:szCs w:val="18"/>
                <w:lang w:eastAsia="de-DE"/>
              </w:rPr>
              <w:t xml:space="preserve">y </w:t>
            </w:r>
            <w:r w:rsidRPr="00186A27">
              <w:rPr>
                <w:sz w:val="18"/>
                <w:szCs w:val="18"/>
                <w:lang w:eastAsia="de-DE"/>
              </w:rPr>
              <w:t xml:space="preserve">= 1.35 </w:t>
            </w:r>
            <w:r w:rsidRPr="00186A27">
              <w:rPr>
                <w:i/>
                <w:iCs/>
                <w:sz w:val="18"/>
                <w:szCs w:val="18"/>
                <w:lang w:eastAsia="de-DE"/>
              </w:rPr>
              <w:t xml:space="preserve">x </w:t>
            </w:r>
            <w:r w:rsidRPr="00186A27">
              <w:rPr>
                <w:sz w:val="18"/>
                <w:szCs w:val="18"/>
                <w:lang w:eastAsia="de-DE"/>
              </w:rPr>
              <w:t>– 0.093</w:t>
            </w:r>
          </w:p>
        </w:tc>
        <w:tc>
          <w:tcPr>
            <w:tcW w:w="1689" w:type="dxa"/>
            <w:vAlign w:val="center"/>
          </w:tcPr>
          <w:p w:rsidR="00186A27" w:rsidRPr="00186A27" w:rsidRDefault="00186A27" w:rsidP="00186A27">
            <w:pPr>
              <w:pStyle w:val="BodyText"/>
              <w:jc w:val="center"/>
              <w:rPr>
                <w:sz w:val="20"/>
                <w:szCs w:val="20"/>
              </w:rPr>
            </w:pPr>
            <w:r w:rsidRPr="00186A27">
              <w:rPr>
                <w:sz w:val="20"/>
                <w:szCs w:val="20"/>
              </w:rPr>
              <w:t>0.50</w:t>
            </w:r>
          </w:p>
        </w:tc>
        <w:tc>
          <w:tcPr>
            <w:tcW w:w="1690" w:type="dxa"/>
            <w:vAlign w:val="center"/>
          </w:tcPr>
          <w:p w:rsidR="00186A27" w:rsidRPr="00186A27" w:rsidRDefault="00186A27" w:rsidP="00186A27">
            <w:pPr>
              <w:pStyle w:val="BodyText"/>
              <w:jc w:val="center"/>
              <w:rPr>
                <w:sz w:val="20"/>
                <w:szCs w:val="20"/>
              </w:rPr>
            </w:pPr>
            <w:r w:rsidRPr="00186A27">
              <w:rPr>
                <w:sz w:val="20"/>
                <w:szCs w:val="20"/>
              </w:rPr>
              <w:t>-</w:t>
            </w:r>
          </w:p>
        </w:tc>
      </w:tr>
      <w:tr w:rsidR="00186A27" w:rsidRPr="00186A27" w:rsidTr="00186A27">
        <w:trPr>
          <w:jc w:val="center"/>
        </w:trPr>
        <w:tc>
          <w:tcPr>
            <w:tcW w:w="1008" w:type="dxa"/>
            <w:vAlign w:val="center"/>
          </w:tcPr>
          <w:p w:rsidR="00186A27" w:rsidRPr="00186A27" w:rsidRDefault="00186A27" w:rsidP="00186A27">
            <w:pPr>
              <w:pStyle w:val="BodyText"/>
              <w:jc w:val="center"/>
              <w:rPr>
                <w:szCs w:val="22"/>
              </w:rPr>
            </w:pPr>
            <w:r w:rsidRPr="00186A27">
              <w:rPr>
                <w:szCs w:val="22"/>
              </w:rPr>
              <w:t>Green</w:t>
            </w:r>
          </w:p>
        </w:tc>
        <w:tc>
          <w:tcPr>
            <w:tcW w:w="1628" w:type="dxa"/>
          </w:tcPr>
          <w:p w:rsidR="00186A27" w:rsidRPr="00186A27" w:rsidRDefault="00186A27" w:rsidP="00186A27">
            <w:pPr>
              <w:pStyle w:val="BodyText"/>
              <w:jc w:val="center"/>
              <w:rPr>
                <w:sz w:val="18"/>
                <w:szCs w:val="18"/>
              </w:rPr>
            </w:pPr>
            <w:r w:rsidRPr="00186A27">
              <w:rPr>
                <w:sz w:val="18"/>
                <w:szCs w:val="18"/>
              </w:rPr>
              <w:t>Yellow</w:t>
            </w:r>
            <w:r w:rsidRPr="00186A27">
              <w:rPr>
                <w:sz w:val="18"/>
                <w:szCs w:val="18"/>
              </w:rPr>
              <w:br/>
              <w:t>White</w:t>
            </w:r>
            <w:r w:rsidRPr="00186A27">
              <w:rPr>
                <w:sz w:val="18"/>
                <w:szCs w:val="18"/>
              </w:rPr>
              <w:br/>
              <w:t>Blue (Preferred)</w:t>
            </w:r>
            <w:r w:rsidRPr="00186A27">
              <w:rPr>
                <w:sz w:val="18"/>
                <w:szCs w:val="18"/>
              </w:rPr>
              <w:br/>
              <w:t>Blue (General)</w:t>
            </w:r>
          </w:p>
        </w:tc>
        <w:tc>
          <w:tcPr>
            <w:tcW w:w="1701" w:type="dxa"/>
          </w:tcPr>
          <w:p w:rsidR="00186A27" w:rsidRPr="00186A27" w:rsidRDefault="00186A27" w:rsidP="00186A27">
            <w:pPr>
              <w:autoSpaceDE w:val="0"/>
              <w:autoSpaceDN w:val="0"/>
              <w:adjustRightInd w:val="0"/>
              <w:rPr>
                <w:sz w:val="18"/>
                <w:szCs w:val="18"/>
                <w:lang w:val="de-DE" w:eastAsia="de-DE"/>
              </w:rPr>
            </w:pPr>
            <w:r w:rsidRPr="00186A27">
              <w:rPr>
                <w:i/>
                <w:iCs/>
                <w:sz w:val="18"/>
                <w:szCs w:val="18"/>
                <w:lang w:val="de-DE" w:eastAsia="de-DE"/>
              </w:rPr>
              <w:t xml:space="preserve">y </w:t>
            </w:r>
            <w:r w:rsidRPr="00186A27">
              <w:rPr>
                <w:sz w:val="18"/>
                <w:szCs w:val="18"/>
                <w:lang w:val="de-DE" w:eastAsia="de-DE"/>
              </w:rPr>
              <w:t>= 0.313</w:t>
            </w:r>
          </w:p>
          <w:p w:rsidR="00186A27" w:rsidRPr="00186A27" w:rsidRDefault="00186A27" w:rsidP="00186A27">
            <w:pPr>
              <w:autoSpaceDE w:val="0"/>
              <w:autoSpaceDN w:val="0"/>
              <w:adjustRightInd w:val="0"/>
              <w:rPr>
                <w:i/>
                <w:iCs/>
                <w:sz w:val="18"/>
                <w:szCs w:val="18"/>
                <w:lang w:val="de-DE" w:eastAsia="de-DE"/>
              </w:rPr>
            </w:pPr>
            <w:r w:rsidRPr="00186A27">
              <w:rPr>
                <w:i/>
                <w:iCs/>
                <w:sz w:val="18"/>
                <w:szCs w:val="18"/>
                <w:lang w:val="de-DE" w:eastAsia="de-DE"/>
              </w:rPr>
              <w:t xml:space="preserve">y </w:t>
            </w:r>
            <w:r w:rsidRPr="00186A27">
              <w:rPr>
                <w:sz w:val="18"/>
                <w:szCs w:val="18"/>
                <w:lang w:val="de-DE" w:eastAsia="de-DE"/>
              </w:rPr>
              <w:t xml:space="preserve">= 0.243 + 0.670 </w:t>
            </w:r>
            <w:r w:rsidRPr="00186A27">
              <w:rPr>
                <w:i/>
                <w:iCs/>
                <w:sz w:val="18"/>
                <w:szCs w:val="18"/>
                <w:lang w:val="de-DE" w:eastAsia="de-DE"/>
              </w:rPr>
              <w:t>x</w:t>
            </w:r>
          </w:p>
          <w:p w:rsidR="00186A27" w:rsidRPr="00186A27" w:rsidRDefault="00186A27" w:rsidP="00186A27">
            <w:pPr>
              <w:autoSpaceDE w:val="0"/>
              <w:autoSpaceDN w:val="0"/>
              <w:adjustRightInd w:val="0"/>
              <w:rPr>
                <w:i/>
                <w:iCs/>
                <w:sz w:val="18"/>
                <w:szCs w:val="18"/>
                <w:lang w:val="de-DE" w:eastAsia="de-DE"/>
              </w:rPr>
            </w:pPr>
            <w:r w:rsidRPr="00186A27">
              <w:rPr>
                <w:i/>
                <w:iCs/>
                <w:sz w:val="18"/>
                <w:szCs w:val="18"/>
                <w:lang w:val="de-DE" w:eastAsia="de-DE"/>
              </w:rPr>
              <w:t xml:space="preserve">y </w:t>
            </w:r>
            <w:r w:rsidRPr="00186A27">
              <w:rPr>
                <w:sz w:val="18"/>
                <w:szCs w:val="18"/>
                <w:lang w:val="de-DE" w:eastAsia="de-DE"/>
              </w:rPr>
              <w:t xml:space="preserve">= 0.636 – 0.982 </w:t>
            </w:r>
            <w:r w:rsidRPr="00186A27">
              <w:rPr>
                <w:i/>
                <w:iCs/>
                <w:sz w:val="18"/>
                <w:szCs w:val="18"/>
                <w:lang w:val="de-DE" w:eastAsia="de-DE"/>
              </w:rPr>
              <w:t>x</w:t>
            </w:r>
            <w:r w:rsidRPr="00186A27">
              <w:rPr>
                <w:i/>
                <w:iCs/>
                <w:sz w:val="18"/>
                <w:szCs w:val="18"/>
                <w:lang w:eastAsia="de-DE"/>
              </w:rPr>
              <w:br/>
              <w:t xml:space="preserve">y </w:t>
            </w:r>
            <w:r w:rsidRPr="00186A27">
              <w:rPr>
                <w:sz w:val="18"/>
                <w:szCs w:val="18"/>
                <w:lang w:eastAsia="de-DE"/>
              </w:rPr>
              <w:t xml:space="preserve">= 0.493 – 0.524 </w:t>
            </w:r>
            <w:r w:rsidRPr="00186A27">
              <w:rPr>
                <w:i/>
                <w:iCs/>
                <w:sz w:val="18"/>
                <w:szCs w:val="18"/>
                <w:lang w:eastAsia="de-DE"/>
              </w:rPr>
              <w:t>x</w:t>
            </w:r>
          </w:p>
        </w:tc>
        <w:tc>
          <w:tcPr>
            <w:tcW w:w="1689" w:type="dxa"/>
            <w:vAlign w:val="center"/>
          </w:tcPr>
          <w:p w:rsidR="00186A27" w:rsidRPr="00186A27" w:rsidRDefault="00186A27" w:rsidP="00186A27">
            <w:pPr>
              <w:pStyle w:val="BodyText"/>
              <w:jc w:val="center"/>
              <w:rPr>
                <w:sz w:val="20"/>
                <w:szCs w:val="20"/>
              </w:rPr>
            </w:pPr>
            <w:r w:rsidRPr="00186A27">
              <w:rPr>
                <w:sz w:val="20"/>
                <w:szCs w:val="20"/>
              </w:rPr>
              <w:t>0.10</w:t>
            </w:r>
          </w:p>
        </w:tc>
        <w:tc>
          <w:tcPr>
            <w:tcW w:w="1690" w:type="dxa"/>
            <w:vAlign w:val="center"/>
          </w:tcPr>
          <w:p w:rsidR="00186A27" w:rsidRPr="00186A27" w:rsidRDefault="00186A27" w:rsidP="00186A27">
            <w:pPr>
              <w:pStyle w:val="BodyText"/>
              <w:jc w:val="center"/>
              <w:rPr>
                <w:sz w:val="20"/>
                <w:szCs w:val="20"/>
              </w:rPr>
            </w:pPr>
            <w:r w:rsidRPr="00186A27">
              <w:rPr>
                <w:sz w:val="20"/>
                <w:szCs w:val="20"/>
              </w:rPr>
              <w:t>-</w:t>
            </w:r>
          </w:p>
        </w:tc>
      </w:tr>
      <w:tr w:rsidR="00186A27" w:rsidRPr="00186A27" w:rsidTr="00186A27">
        <w:trPr>
          <w:jc w:val="center"/>
        </w:trPr>
        <w:tc>
          <w:tcPr>
            <w:tcW w:w="1008" w:type="dxa"/>
            <w:vAlign w:val="center"/>
          </w:tcPr>
          <w:p w:rsidR="00186A27" w:rsidRPr="00186A27" w:rsidRDefault="00186A27" w:rsidP="00186A27">
            <w:pPr>
              <w:pStyle w:val="BodyText"/>
              <w:jc w:val="center"/>
              <w:rPr>
                <w:szCs w:val="22"/>
              </w:rPr>
            </w:pPr>
            <w:r w:rsidRPr="00186A27">
              <w:rPr>
                <w:szCs w:val="22"/>
              </w:rPr>
              <w:t>Blue</w:t>
            </w:r>
          </w:p>
        </w:tc>
        <w:tc>
          <w:tcPr>
            <w:tcW w:w="1628" w:type="dxa"/>
          </w:tcPr>
          <w:p w:rsidR="00186A27" w:rsidRPr="00186A27" w:rsidRDefault="00186A27" w:rsidP="00186A27">
            <w:pPr>
              <w:pStyle w:val="BodyText"/>
              <w:jc w:val="center"/>
              <w:rPr>
                <w:sz w:val="18"/>
                <w:szCs w:val="18"/>
              </w:rPr>
            </w:pPr>
            <w:r w:rsidRPr="00186A27">
              <w:rPr>
                <w:sz w:val="18"/>
                <w:szCs w:val="18"/>
              </w:rPr>
              <w:t>Green</w:t>
            </w:r>
            <w:r w:rsidRPr="00186A27">
              <w:rPr>
                <w:sz w:val="18"/>
                <w:szCs w:val="18"/>
              </w:rPr>
              <w:br/>
              <w:t>White</w:t>
            </w:r>
            <w:r w:rsidRPr="00186A27">
              <w:rPr>
                <w:sz w:val="18"/>
                <w:szCs w:val="18"/>
              </w:rPr>
              <w:br/>
              <w:t>Purple</w:t>
            </w:r>
          </w:p>
        </w:tc>
        <w:tc>
          <w:tcPr>
            <w:tcW w:w="1701" w:type="dxa"/>
          </w:tcPr>
          <w:p w:rsidR="00186A27" w:rsidRPr="00186A27" w:rsidRDefault="00186A27" w:rsidP="00186A27">
            <w:pPr>
              <w:autoSpaceDE w:val="0"/>
              <w:autoSpaceDN w:val="0"/>
              <w:adjustRightInd w:val="0"/>
              <w:rPr>
                <w:i/>
                <w:iCs/>
                <w:sz w:val="18"/>
                <w:szCs w:val="18"/>
                <w:lang w:eastAsia="de-DE"/>
              </w:rPr>
            </w:pPr>
            <w:r w:rsidRPr="00186A27">
              <w:rPr>
                <w:i/>
                <w:iCs/>
                <w:sz w:val="18"/>
                <w:szCs w:val="18"/>
                <w:lang w:eastAsia="de-DE"/>
              </w:rPr>
              <w:t xml:space="preserve">y </w:t>
            </w:r>
            <w:r w:rsidRPr="00186A27">
              <w:rPr>
                <w:sz w:val="18"/>
                <w:szCs w:val="18"/>
                <w:lang w:eastAsia="de-DE"/>
              </w:rPr>
              <w:t xml:space="preserve">= 0.118 + 0.675 </w:t>
            </w:r>
            <w:r w:rsidRPr="00186A27">
              <w:rPr>
                <w:i/>
                <w:iCs/>
                <w:sz w:val="18"/>
                <w:szCs w:val="18"/>
                <w:lang w:eastAsia="de-DE"/>
              </w:rPr>
              <w:t>x</w:t>
            </w:r>
          </w:p>
          <w:p w:rsidR="00186A27" w:rsidRPr="00186A27" w:rsidRDefault="00186A27" w:rsidP="00186A27">
            <w:pPr>
              <w:autoSpaceDE w:val="0"/>
              <w:autoSpaceDN w:val="0"/>
              <w:adjustRightInd w:val="0"/>
              <w:rPr>
                <w:i/>
                <w:iCs/>
                <w:sz w:val="18"/>
                <w:szCs w:val="18"/>
                <w:lang w:eastAsia="de-DE"/>
              </w:rPr>
            </w:pPr>
            <w:r w:rsidRPr="00186A27">
              <w:rPr>
                <w:i/>
                <w:iCs/>
                <w:sz w:val="18"/>
                <w:szCs w:val="18"/>
                <w:lang w:eastAsia="de-DE"/>
              </w:rPr>
              <w:t xml:space="preserve">y </w:t>
            </w:r>
            <w:r w:rsidRPr="00186A27">
              <w:rPr>
                <w:sz w:val="18"/>
                <w:szCs w:val="18"/>
                <w:lang w:eastAsia="de-DE"/>
              </w:rPr>
              <w:t xml:space="preserve">= 0.700 – 2.30 </w:t>
            </w:r>
            <w:r w:rsidRPr="00186A27">
              <w:rPr>
                <w:i/>
                <w:iCs/>
                <w:sz w:val="18"/>
                <w:szCs w:val="18"/>
                <w:lang w:eastAsia="de-DE"/>
              </w:rPr>
              <w:t>x</w:t>
            </w:r>
          </w:p>
          <w:p w:rsidR="00186A27" w:rsidRPr="00186A27" w:rsidRDefault="00186A27" w:rsidP="00186A27">
            <w:pPr>
              <w:autoSpaceDE w:val="0"/>
              <w:autoSpaceDN w:val="0"/>
              <w:adjustRightInd w:val="0"/>
              <w:rPr>
                <w:sz w:val="18"/>
                <w:szCs w:val="18"/>
                <w:lang w:eastAsia="de-DE"/>
              </w:rPr>
            </w:pPr>
            <w:r w:rsidRPr="00186A27">
              <w:rPr>
                <w:i/>
                <w:iCs/>
                <w:sz w:val="18"/>
                <w:szCs w:val="18"/>
                <w:lang w:eastAsia="de-DE"/>
              </w:rPr>
              <w:t xml:space="preserve">y </w:t>
            </w:r>
            <w:r w:rsidRPr="00186A27">
              <w:rPr>
                <w:sz w:val="18"/>
                <w:szCs w:val="18"/>
                <w:lang w:eastAsia="de-DE"/>
              </w:rPr>
              <w:t xml:space="preserve">= 1.65 </w:t>
            </w:r>
            <w:r w:rsidRPr="00186A27">
              <w:rPr>
                <w:i/>
                <w:iCs/>
                <w:sz w:val="18"/>
                <w:szCs w:val="18"/>
                <w:lang w:eastAsia="de-DE"/>
              </w:rPr>
              <w:t xml:space="preserve">x </w:t>
            </w:r>
            <w:r w:rsidRPr="00186A27">
              <w:rPr>
                <w:sz w:val="18"/>
                <w:szCs w:val="18"/>
                <w:lang w:eastAsia="de-DE"/>
              </w:rPr>
              <w:t>– 0.187</w:t>
            </w:r>
          </w:p>
        </w:tc>
        <w:tc>
          <w:tcPr>
            <w:tcW w:w="1689" w:type="dxa"/>
            <w:vAlign w:val="center"/>
          </w:tcPr>
          <w:p w:rsidR="00186A27" w:rsidRPr="00186A27" w:rsidRDefault="00186A27" w:rsidP="00186A27">
            <w:pPr>
              <w:pStyle w:val="BodyText"/>
              <w:jc w:val="center"/>
              <w:rPr>
                <w:sz w:val="20"/>
                <w:szCs w:val="20"/>
              </w:rPr>
            </w:pPr>
            <w:r w:rsidRPr="00186A27">
              <w:rPr>
                <w:sz w:val="20"/>
                <w:szCs w:val="20"/>
              </w:rPr>
              <w:t>0.07</w:t>
            </w:r>
          </w:p>
        </w:tc>
        <w:tc>
          <w:tcPr>
            <w:tcW w:w="1690" w:type="dxa"/>
            <w:vAlign w:val="center"/>
          </w:tcPr>
          <w:p w:rsidR="00186A27" w:rsidRPr="00186A27" w:rsidRDefault="00186A27" w:rsidP="00186A27">
            <w:pPr>
              <w:pStyle w:val="BodyText"/>
              <w:jc w:val="center"/>
              <w:rPr>
                <w:sz w:val="20"/>
                <w:szCs w:val="20"/>
              </w:rPr>
            </w:pPr>
            <w:r w:rsidRPr="00186A27">
              <w:rPr>
                <w:sz w:val="20"/>
                <w:szCs w:val="20"/>
              </w:rPr>
              <w:t>-</w:t>
            </w:r>
          </w:p>
        </w:tc>
      </w:tr>
      <w:tr w:rsidR="00186A27" w:rsidRPr="00186A27" w:rsidTr="00186A27">
        <w:trPr>
          <w:jc w:val="center"/>
        </w:trPr>
        <w:tc>
          <w:tcPr>
            <w:tcW w:w="1008" w:type="dxa"/>
            <w:vAlign w:val="center"/>
          </w:tcPr>
          <w:p w:rsidR="00186A27" w:rsidRPr="00186A27" w:rsidRDefault="00186A27" w:rsidP="00186A27">
            <w:pPr>
              <w:pStyle w:val="BodyText"/>
              <w:jc w:val="center"/>
              <w:rPr>
                <w:szCs w:val="22"/>
              </w:rPr>
            </w:pPr>
            <w:r w:rsidRPr="00186A27">
              <w:rPr>
                <w:szCs w:val="22"/>
              </w:rPr>
              <w:t>White</w:t>
            </w:r>
          </w:p>
        </w:tc>
        <w:tc>
          <w:tcPr>
            <w:tcW w:w="1628" w:type="dxa"/>
          </w:tcPr>
          <w:p w:rsidR="00186A27" w:rsidRPr="00186A27" w:rsidRDefault="00186A27" w:rsidP="00186A27">
            <w:pPr>
              <w:pStyle w:val="BodyText"/>
              <w:jc w:val="center"/>
              <w:rPr>
                <w:sz w:val="18"/>
                <w:szCs w:val="18"/>
              </w:rPr>
            </w:pPr>
            <w:r w:rsidRPr="00186A27">
              <w:rPr>
                <w:sz w:val="18"/>
                <w:szCs w:val="18"/>
              </w:rPr>
              <w:t>Purple</w:t>
            </w:r>
            <w:r w:rsidRPr="00186A27">
              <w:rPr>
                <w:sz w:val="18"/>
                <w:szCs w:val="18"/>
              </w:rPr>
              <w:br/>
              <w:t>Blue</w:t>
            </w:r>
            <w:r w:rsidRPr="00186A27">
              <w:rPr>
                <w:sz w:val="18"/>
                <w:szCs w:val="18"/>
              </w:rPr>
              <w:br/>
              <w:t>Green</w:t>
            </w:r>
            <w:r w:rsidRPr="00186A27">
              <w:rPr>
                <w:sz w:val="18"/>
                <w:szCs w:val="18"/>
              </w:rPr>
              <w:br/>
              <w:t>Yellow</w:t>
            </w:r>
          </w:p>
        </w:tc>
        <w:tc>
          <w:tcPr>
            <w:tcW w:w="1701" w:type="dxa"/>
          </w:tcPr>
          <w:p w:rsidR="00186A27" w:rsidRPr="00186A27" w:rsidRDefault="00186A27" w:rsidP="00186A27">
            <w:pPr>
              <w:autoSpaceDE w:val="0"/>
              <w:autoSpaceDN w:val="0"/>
              <w:adjustRightInd w:val="0"/>
              <w:rPr>
                <w:i/>
                <w:iCs/>
                <w:sz w:val="18"/>
                <w:szCs w:val="18"/>
                <w:lang w:val="de-DE" w:eastAsia="de-DE"/>
              </w:rPr>
            </w:pPr>
            <w:r w:rsidRPr="00186A27">
              <w:rPr>
                <w:i/>
                <w:iCs/>
                <w:sz w:val="18"/>
                <w:szCs w:val="18"/>
                <w:lang w:eastAsia="de-DE"/>
              </w:rPr>
              <w:t xml:space="preserve">y </w:t>
            </w:r>
            <w:r w:rsidRPr="00186A27">
              <w:rPr>
                <w:sz w:val="18"/>
                <w:szCs w:val="18"/>
                <w:lang w:eastAsia="de-DE"/>
              </w:rPr>
              <w:t>= 0.</w:t>
            </w:r>
            <w:r w:rsidRPr="00186A27">
              <w:rPr>
                <w:sz w:val="18"/>
                <w:szCs w:val="18"/>
                <w:lang w:val="de-DE" w:eastAsia="de-DE"/>
              </w:rPr>
              <w:t xml:space="preserve">010 + </w:t>
            </w:r>
            <w:r w:rsidRPr="00186A27">
              <w:rPr>
                <w:i/>
                <w:iCs/>
                <w:sz w:val="18"/>
                <w:szCs w:val="18"/>
                <w:lang w:val="de-DE" w:eastAsia="de-DE"/>
              </w:rPr>
              <w:t>x</w:t>
            </w:r>
          </w:p>
          <w:p w:rsidR="00186A27" w:rsidRPr="00186A27" w:rsidRDefault="00186A27" w:rsidP="00186A27">
            <w:pPr>
              <w:autoSpaceDE w:val="0"/>
              <w:autoSpaceDN w:val="0"/>
              <w:adjustRightInd w:val="0"/>
              <w:rPr>
                <w:i/>
                <w:iCs/>
                <w:sz w:val="18"/>
                <w:szCs w:val="18"/>
                <w:lang w:val="de-DE" w:eastAsia="de-DE"/>
              </w:rPr>
            </w:pPr>
            <w:r w:rsidRPr="00186A27">
              <w:rPr>
                <w:i/>
                <w:iCs/>
                <w:sz w:val="18"/>
                <w:szCs w:val="18"/>
                <w:lang w:val="de-DE" w:eastAsia="de-DE"/>
              </w:rPr>
              <w:t xml:space="preserve">y </w:t>
            </w:r>
            <w:r w:rsidRPr="00186A27">
              <w:rPr>
                <w:sz w:val="18"/>
                <w:szCs w:val="18"/>
                <w:lang w:val="de-DE" w:eastAsia="de-DE"/>
              </w:rPr>
              <w:t xml:space="preserve">= 0.610 – </w:t>
            </w:r>
            <w:r w:rsidRPr="00186A27">
              <w:rPr>
                <w:i/>
                <w:iCs/>
                <w:sz w:val="18"/>
                <w:szCs w:val="18"/>
                <w:lang w:val="de-DE" w:eastAsia="de-DE"/>
              </w:rPr>
              <w:t>x</w:t>
            </w:r>
          </w:p>
          <w:p w:rsidR="00186A27" w:rsidRPr="00186A27" w:rsidRDefault="00186A27" w:rsidP="00186A27">
            <w:pPr>
              <w:autoSpaceDE w:val="0"/>
              <w:autoSpaceDN w:val="0"/>
              <w:adjustRightInd w:val="0"/>
              <w:rPr>
                <w:i/>
                <w:iCs/>
                <w:sz w:val="18"/>
                <w:szCs w:val="18"/>
                <w:lang w:val="de-DE" w:eastAsia="de-DE"/>
              </w:rPr>
            </w:pPr>
            <w:r w:rsidRPr="00186A27">
              <w:rPr>
                <w:i/>
                <w:iCs/>
                <w:sz w:val="18"/>
                <w:szCs w:val="18"/>
                <w:lang w:val="de-DE" w:eastAsia="de-DE"/>
              </w:rPr>
              <w:t xml:space="preserve">y </w:t>
            </w:r>
            <w:r w:rsidRPr="00186A27">
              <w:rPr>
                <w:sz w:val="18"/>
                <w:szCs w:val="18"/>
                <w:lang w:val="de-DE" w:eastAsia="de-DE"/>
              </w:rPr>
              <w:t xml:space="preserve">= 0.030 + </w:t>
            </w:r>
            <w:r w:rsidRPr="00186A27">
              <w:rPr>
                <w:i/>
                <w:iCs/>
                <w:sz w:val="18"/>
                <w:szCs w:val="18"/>
                <w:lang w:val="de-DE" w:eastAsia="de-DE"/>
              </w:rPr>
              <w:t>x</w:t>
            </w:r>
          </w:p>
          <w:p w:rsidR="00186A27" w:rsidRPr="00186A27" w:rsidRDefault="00186A27" w:rsidP="00186A27">
            <w:pPr>
              <w:autoSpaceDE w:val="0"/>
              <w:autoSpaceDN w:val="0"/>
              <w:adjustRightInd w:val="0"/>
              <w:rPr>
                <w:sz w:val="18"/>
                <w:szCs w:val="18"/>
                <w:lang w:val="de-DE" w:eastAsia="de-DE"/>
              </w:rPr>
            </w:pPr>
            <w:r w:rsidRPr="00186A27">
              <w:rPr>
                <w:i/>
                <w:iCs/>
                <w:sz w:val="18"/>
                <w:szCs w:val="18"/>
                <w:lang w:val="de-DE" w:eastAsia="de-DE"/>
              </w:rPr>
              <w:t xml:space="preserve">y </w:t>
            </w:r>
            <w:r w:rsidRPr="00186A27">
              <w:rPr>
                <w:sz w:val="18"/>
                <w:szCs w:val="18"/>
                <w:lang w:val="de-DE" w:eastAsia="de-DE"/>
              </w:rPr>
              <w:t xml:space="preserve">= 0.710 – </w:t>
            </w:r>
            <w:r w:rsidRPr="00186A27">
              <w:rPr>
                <w:i/>
                <w:iCs/>
                <w:sz w:val="18"/>
                <w:szCs w:val="18"/>
                <w:lang w:val="de-DE" w:eastAsia="de-DE"/>
              </w:rPr>
              <w:t>x</w:t>
            </w:r>
          </w:p>
        </w:tc>
        <w:tc>
          <w:tcPr>
            <w:tcW w:w="1689" w:type="dxa"/>
            <w:vAlign w:val="center"/>
          </w:tcPr>
          <w:p w:rsidR="00186A27" w:rsidRPr="00186A27" w:rsidRDefault="00186A27" w:rsidP="00186A27">
            <w:pPr>
              <w:pStyle w:val="BodyText"/>
              <w:jc w:val="center"/>
              <w:rPr>
                <w:sz w:val="20"/>
                <w:szCs w:val="20"/>
              </w:rPr>
            </w:pPr>
            <w:r w:rsidRPr="00186A27">
              <w:rPr>
                <w:sz w:val="20"/>
                <w:szCs w:val="20"/>
              </w:rPr>
              <w:t>0.75</w:t>
            </w:r>
          </w:p>
        </w:tc>
        <w:tc>
          <w:tcPr>
            <w:tcW w:w="1690" w:type="dxa"/>
            <w:vAlign w:val="center"/>
          </w:tcPr>
          <w:p w:rsidR="00186A27" w:rsidRPr="00186A27" w:rsidRDefault="00186A27" w:rsidP="00186A27">
            <w:pPr>
              <w:pStyle w:val="BodyText"/>
              <w:jc w:val="center"/>
              <w:rPr>
                <w:sz w:val="20"/>
                <w:szCs w:val="20"/>
              </w:rPr>
            </w:pPr>
            <w:r w:rsidRPr="00186A27">
              <w:rPr>
                <w:sz w:val="20"/>
                <w:szCs w:val="20"/>
              </w:rPr>
              <w:t>-</w:t>
            </w:r>
          </w:p>
        </w:tc>
      </w:tr>
      <w:tr w:rsidR="00186A27" w:rsidRPr="00186A27" w:rsidTr="00186A27">
        <w:trPr>
          <w:jc w:val="center"/>
        </w:trPr>
        <w:tc>
          <w:tcPr>
            <w:tcW w:w="1008" w:type="dxa"/>
            <w:vAlign w:val="center"/>
          </w:tcPr>
          <w:p w:rsidR="00186A27" w:rsidRPr="00186A27" w:rsidRDefault="00186A27" w:rsidP="00186A27">
            <w:pPr>
              <w:pStyle w:val="BodyText"/>
              <w:jc w:val="center"/>
              <w:rPr>
                <w:szCs w:val="22"/>
              </w:rPr>
            </w:pPr>
            <w:r w:rsidRPr="00186A27">
              <w:rPr>
                <w:szCs w:val="22"/>
              </w:rPr>
              <w:t>Black</w:t>
            </w:r>
          </w:p>
        </w:tc>
        <w:tc>
          <w:tcPr>
            <w:tcW w:w="1628" w:type="dxa"/>
          </w:tcPr>
          <w:p w:rsidR="00186A27" w:rsidRPr="00186A27" w:rsidRDefault="00186A27" w:rsidP="00186A27">
            <w:pPr>
              <w:pStyle w:val="BodyText"/>
              <w:jc w:val="center"/>
              <w:rPr>
                <w:sz w:val="18"/>
                <w:szCs w:val="18"/>
              </w:rPr>
            </w:pPr>
            <w:r w:rsidRPr="00186A27">
              <w:rPr>
                <w:sz w:val="18"/>
                <w:szCs w:val="18"/>
              </w:rPr>
              <w:t>Purple</w:t>
            </w:r>
            <w:r w:rsidRPr="00186A27">
              <w:rPr>
                <w:sz w:val="18"/>
                <w:szCs w:val="18"/>
              </w:rPr>
              <w:br/>
              <w:t>Blue</w:t>
            </w:r>
            <w:r w:rsidRPr="00186A27">
              <w:rPr>
                <w:sz w:val="18"/>
                <w:szCs w:val="18"/>
              </w:rPr>
              <w:br/>
              <w:t>Green</w:t>
            </w:r>
            <w:r w:rsidRPr="00186A27">
              <w:rPr>
                <w:sz w:val="18"/>
                <w:szCs w:val="18"/>
              </w:rPr>
              <w:br/>
              <w:t>Yellow</w:t>
            </w:r>
          </w:p>
        </w:tc>
        <w:tc>
          <w:tcPr>
            <w:tcW w:w="1701" w:type="dxa"/>
          </w:tcPr>
          <w:p w:rsidR="00186A27" w:rsidRPr="00186A27" w:rsidRDefault="00186A27" w:rsidP="00186A27">
            <w:pPr>
              <w:autoSpaceDE w:val="0"/>
              <w:autoSpaceDN w:val="0"/>
              <w:adjustRightInd w:val="0"/>
              <w:rPr>
                <w:sz w:val="18"/>
                <w:szCs w:val="18"/>
                <w:lang w:val="de-DE" w:eastAsia="de-DE"/>
              </w:rPr>
            </w:pPr>
            <w:r w:rsidRPr="00186A27">
              <w:rPr>
                <w:i/>
                <w:iCs/>
                <w:sz w:val="18"/>
                <w:szCs w:val="18"/>
                <w:lang w:val="de-DE" w:eastAsia="de-DE"/>
              </w:rPr>
              <w:t xml:space="preserve">y </w:t>
            </w:r>
            <w:r w:rsidRPr="00186A27">
              <w:rPr>
                <w:sz w:val="18"/>
                <w:szCs w:val="18"/>
                <w:lang w:val="de-DE" w:eastAsia="de-DE"/>
              </w:rPr>
              <w:t xml:space="preserve">= </w:t>
            </w:r>
            <w:r w:rsidRPr="00186A27">
              <w:rPr>
                <w:i/>
                <w:iCs/>
                <w:sz w:val="18"/>
                <w:szCs w:val="18"/>
                <w:lang w:val="de-DE" w:eastAsia="de-DE"/>
              </w:rPr>
              <w:t xml:space="preserve">x </w:t>
            </w:r>
            <w:r w:rsidRPr="00186A27">
              <w:rPr>
                <w:sz w:val="18"/>
                <w:szCs w:val="18"/>
                <w:lang w:val="de-DE" w:eastAsia="de-DE"/>
              </w:rPr>
              <w:t>– 0.030</w:t>
            </w:r>
          </w:p>
          <w:p w:rsidR="00186A27" w:rsidRPr="00186A27" w:rsidRDefault="00186A27" w:rsidP="00186A27">
            <w:pPr>
              <w:autoSpaceDE w:val="0"/>
              <w:autoSpaceDN w:val="0"/>
              <w:adjustRightInd w:val="0"/>
              <w:rPr>
                <w:i/>
                <w:iCs/>
                <w:sz w:val="18"/>
                <w:szCs w:val="18"/>
                <w:lang w:val="de-DE" w:eastAsia="de-DE"/>
              </w:rPr>
            </w:pPr>
            <w:r w:rsidRPr="00186A27">
              <w:rPr>
                <w:i/>
                <w:iCs/>
                <w:sz w:val="18"/>
                <w:szCs w:val="18"/>
                <w:lang w:val="de-DE" w:eastAsia="de-DE"/>
              </w:rPr>
              <w:t xml:space="preserve">y </w:t>
            </w:r>
            <w:r w:rsidRPr="00186A27">
              <w:rPr>
                <w:sz w:val="18"/>
                <w:szCs w:val="18"/>
                <w:lang w:val="de-DE" w:eastAsia="de-DE"/>
              </w:rPr>
              <w:t xml:space="preserve">= 0.570 – </w:t>
            </w:r>
            <w:r w:rsidRPr="00186A27">
              <w:rPr>
                <w:i/>
                <w:iCs/>
                <w:sz w:val="18"/>
                <w:szCs w:val="18"/>
                <w:lang w:val="de-DE" w:eastAsia="de-DE"/>
              </w:rPr>
              <w:t>x</w:t>
            </w:r>
          </w:p>
          <w:p w:rsidR="00186A27" w:rsidRPr="00186A27" w:rsidRDefault="00186A27" w:rsidP="00186A27">
            <w:pPr>
              <w:autoSpaceDE w:val="0"/>
              <w:autoSpaceDN w:val="0"/>
              <w:adjustRightInd w:val="0"/>
              <w:rPr>
                <w:i/>
                <w:iCs/>
                <w:sz w:val="18"/>
                <w:szCs w:val="18"/>
                <w:lang w:val="de-DE" w:eastAsia="de-DE"/>
              </w:rPr>
            </w:pPr>
            <w:r w:rsidRPr="00186A27">
              <w:rPr>
                <w:i/>
                <w:iCs/>
                <w:sz w:val="18"/>
                <w:szCs w:val="18"/>
                <w:lang w:val="de-DE" w:eastAsia="de-DE"/>
              </w:rPr>
              <w:t xml:space="preserve">y </w:t>
            </w:r>
            <w:r w:rsidRPr="00186A27">
              <w:rPr>
                <w:sz w:val="18"/>
                <w:szCs w:val="18"/>
                <w:lang w:val="de-DE" w:eastAsia="de-DE"/>
              </w:rPr>
              <w:t xml:space="preserve">= 0.050 + </w:t>
            </w:r>
            <w:r w:rsidRPr="00186A27">
              <w:rPr>
                <w:i/>
                <w:iCs/>
                <w:sz w:val="18"/>
                <w:szCs w:val="18"/>
                <w:lang w:val="de-DE" w:eastAsia="de-DE"/>
              </w:rPr>
              <w:t>x</w:t>
            </w:r>
          </w:p>
          <w:p w:rsidR="00186A27" w:rsidRPr="00186A27" w:rsidRDefault="00186A27" w:rsidP="00186A27">
            <w:pPr>
              <w:autoSpaceDE w:val="0"/>
              <w:autoSpaceDN w:val="0"/>
              <w:adjustRightInd w:val="0"/>
              <w:rPr>
                <w:sz w:val="18"/>
                <w:szCs w:val="18"/>
                <w:lang w:val="de-DE" w:eastAsia="de-DE"/>
              </w:rPr>
            </w:pPr>
            <w:r w:rsidRPr="00186A27">
              <w:rPr>
                <w:i/>
                <w:iCs/>
                <w:sz w:val="18"/>
                <w:szCs w:val="18"/>
                <w:lang w:val="de-DE" w:eastAsia="de-DE"/>
              </w:rPr>
              <w:t xml:space="preserve">y </w:t>
            </w:r>
            <w:r w:rsidRPr="00186A27">
              <w:rPr>
                <w:sz w:val="18"/>
                <w:szCs w:val="18"/>
                <w:lang w:val="de-DE" w:eastAsia="de-DE"/>
              </w:rPr>
              <w:t xml:space="preserve">= 0.740 – </w:t>
            </w:r>
            <w:r w:rsidRPr="00186A27">
              <w:rPr>
                <w:i/>
                <w:iCs/>
                <w:sz w:val="18"/>
                <w:szCs w:val="18"/>
                <w:lang w:val="de-DE" w:eastAsia="de-DE"/>
              </w:rPr>
              <w:t>x</w:t>
            </w:r>
          </w:p>
        </w:tc>
        <w:tc>
          <w:tcPr>
            <w:tcW w:w="1689" w:type="dxa"/>
            <w:vAlign w:val="center"/>
          </w:tcPr>
          <w:p w:rsidR="00186A27" w:rsidRPr="00186A27" w:rsidRDefault="00186A27" w:rsidP="00186A27">
            <w:pPr>
              <w:pStyle w:val="BodyText"/>
              <w:jc w:val="center"/>
              <w:rPr>
                <w:sz w:val="20"/>
                <w:szCs w:val="20"/>
              </w:rPr>
            </w:pPr>
            <w:r w:rsidRPr="00186A27">
              <w:rPr>
                <w:sz w:val="20"/>
                <w:szCs w:val="20"/>
              </w:rPr>
              <w:t>-</w:t>
            </w:r>
          </w:p>
        </w:tc>
        <w:tc>
          <w:tcPr>
            <w:tcW w:w="1690" w:type="dxa"/>
            <w:vAlign w:val="center"/>
          </w:tcPr>
          <w:p w:rsidR="00186A27" w:rsidRPr="00186A27" w:rsidRDefault="00186A27" w:rsidP="00186A27">
            <w:pPr>
              <w:pStyle w:val="BodyText"/>
              <w:jc w:val="center"/>
              <w:rPr>
                <w:sz w:val="20"/>
                <w:szCs w:val="20"/>
              </w:rPr>
            </w:pPr>
            <w:r w:rsidRPr="00186A27">
              <w:rPr>
                <w:sz w:val="20"/>
                <w:szCs w:val="20"/>
              </w:rPr>
              <w:t>0.03</w:t>
            </w:r>
          </w:p>
        </w:tc>
      </w:tr>
    </w:tbl>
    <w:p w:rsidR="00186A27" w:rsidRPr="00444739" w:rsidRDefault="00186A27" w:rsidP="00186A27">
      <w:pPr>
        <w:pStyle w:val="BodyText"/>
        <w:rPr>
          <w:lang w:eastAsia="de-DE"/>
        </w:rPr>
      </w:pPr>
      <w:r w:rsidRPr="00444739">
        <w:rPr>
          <w:lang w:eastAsia="de-DE"/>
        </w:rPr>
        <w:t>(</w:t>
      </w:r>
      <w:r w:rsidRPr="00444739">
        <w:rPr>
          <w:i/>
          <w:iCs/>
          <w:lang w:eastAsia="de-DE"/>
        </w:rPr>
        <w:t>x, y</w:t>
      </w:r>
      <w:r w:rsidRPr="00444739">
        <w:rPr>
          <w:lang w:eastAsia="de-DE"/>
        </w:rPr>
        <w:t>) chromaticity coordinates of the corners of the recommended regions for ordinary colours specified in Table 1.</w:t>
      </w:r>
    </w:p>
    <w:p w:rsidR="00186A27" w:rsidRPr="00444739" w:rsidRDefault="00186A27" w:rsidP="00186A27">
      <w:pPr>
        <w:pStyle w:val="Table"/>
      </w:pPr>
      <w:bookmarkStart w:id="34" w:name="_Toc240354423"/>
      <w:r w:rsidRPr="00444739">
        <w:t>Corners of the Chromaticity Regions of Ordinary Colours</w:t>
      </w:r>
      <w:bookmarkEnd w:id="34"/>
    </w:p>
    <w:tbl>
      <w:tblPr>
        <w:tblW w:w="8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776"/>
        <w:gridCol w:w="776"/>
        <w:gridCol w:w="777"/>
        <w:gridCol w:w="777"/>
        <w:gridCol w:w="777"/>
        <w:gridCol w:w="777"/>
        <w:gridCol w:w="777"/>
        <w:gridCol w:w="777"/>
      </w:tblGrid>
      <w:tr w:rsidR="00186A27" w:rsidRPr="00186A27" w:rsidTr="00186A27">
        <w:trPr>
          <w:jc w:val="center"/>
        </w:trPr>
        <w:tc>
          <w:tcPr>
            <w:tcW w:w="1908" w:type="dxa"/>
            <w:vMerge w:val="restart"/>
          </w:tcPr>
          <w:p w:rsidR="00186A27" w:rsidRPr="00186A27" w:rsidRDefault="00186A27" w:rsidP="00D77043">
            <w:pPr>
              <w:pStyle w:val="BodyText"/>
              <w:rPr>
                <w:szCs w:val="22"/>
              </w:rPr>
            </w:pPr>
            <w:r w:rsidRPr="00186A27">
              <w:rPr>
                <w:szCs w:val="22"/>
              </w:rPr>
              <w:t>Colour</w:t>
            </w:r>
          </w:p>
        </w:tc>
        <w:tc>
          <w:tcPr>
            <w:tcW w:w="1552" w:type="dxa"/>
            <w:gridSpan w:val="2"/>
          </w:tcPr>
          <w:p w:rsidR="00186A27" w:rsidRPr="00186A27" w:rsidRDefault="00186A27" w:rsidP="00186A27">
            <w:pPr>
              <w:pStyle w:val="BodyText"/>
              <w:jc w:val="center"/>
              <w:rPr>
                <w:szCs w:val="22"/>
              </w:rPr>
            </w:pPr>
            <w:r w:rsidRPr="00186A27">
              <w:rPr>
                <w:szCs w:val="22"/>
              </w:rPr>
              <w:t>1</w:t>
            </w:r>
          </w:p>
        </w:tc>
        <w:tc>
          <w:tcPr>
            <w:tcW w:w="1554" w:type="dxa"/>
            <w:gridSpan w:val="2"/>
          </w:tcPr>
          <w:p w:rsidR="00186A27" w:rsidRPr="00186A27" w:rsidRDefault="00186A27" w:rsidP="00186A27">
            <w:pPr>
              <w:pStyle w:val="BodyText"/>
              <w:jc w:val="center"/>
              <w:rPr>
                <w:szCs w:val="22"/>
              </w:rPr>
            </w:pPr>
            <w:r w:rsidRPr="00186A27">
              <w:rPr>
                <w:szCs w:val="22"/>
              </w:rPr>
              <w:t>2</w:t>
            </w:r>
          </w:p>
        </w:tc>
        <w:tc>
          <w:tcPr>
            <w:tcW w:w="1554" w:type="dxa"/>
            <w:gridSpan w:val="2"/>
          </w:tcPr>
          <w:p w:rsidR="00186A27" w:rsidRPr="00186A27" w:rsidRDefault="00186A27" w:rsidP="00186A27">
            <w:pPr>
              <w:pStyle w:val="BodyText"/>
              <w:jc w:val="center"/>
              <w:rPr>
                <w:szCs w:val="22"/>
              </w:rPr>
            </w:pPr>
            <w:r w:rsidRPr="00186A27">
              <w:rPr>
                <w:szCs w:val="22"/>
              </w:rPr>
              <w:t>3</w:t>
            </w:r>
          </w:p>
        </w:tc>
        <w:tc>
          <w:tcPr>
            <w:tcW w:w="1554" w:type="dxa"/>
            <w:gridSpan w:val="2"/>
          </w:tcPr>
          <w:p w:rsidR="00186A27" w:rsidRPr="00186A27" w:rsidRDefault="00186A27" w:rsidP="00186A27">
            <w:pPr>
              <w:pStyle w:val="BodyText"/>
              <w:jc w:val="center"/>
              <w:rPr>
                <w:szCs w:val="22"/>
              </w:rPr>
            </w:pPr>
            <w:r w:rsidRPr="00186A27">
              <w:rPr>
                <w:szCs w:val="22"/>
              </w:rPr>
              <w:t>4</w:t>
            </w:r>
          </w:p>
        </w:tc>
      </w:tr>
      <w:tr w:rsidR="00186A27" w:rsidRPr="00186A27" w:rsidTr="00186A27">
        <w:trPr>
          <w:jc w:val="center"/>
        </w:trPr>
        <w:tc>
          <w:tcPr>
            <w:tcW w:w="1908" w:type="dxa"/>
            <w:vMerge/>
          </w:tcPr>
          <w:p w:rsidR="00186A27" w:rsidRPr="00186A27" w:rsidRDefault="00186A27" w:rsidP="00D77043">
            <w:pPr>
              <w:pStyle w:val="BodyText"/>
              <w:rPr>
                <w:szCs w:val="22"/>
              </w:rPr>
            </w:pPr>
          </w:p>
        </w:tc>
        <w:tc>
          <w:tcPr>
            <w:tcW w:w="776" w:type="dxa"/>
          </w:tcPr>
          <w:p w:rsidR="00186A27" w:rsidRPr="00186A27" w:rsidRDefault="00186A27" w:rsidP="00186A27">
            <w:pPr>
              <w:pStyle w:val="BodyText"/>
              <w:jc w:val="center"/>
              <w:rPr>
                <w:szCs w:val="22"/>
              </w:rPr>
            </w:pPr>
            <w:r w:rsidRPr="00186A27">
              <w:rPr>
                <w:szCs w:val="22"/>
              </w:rPr>
              <w:t>x</w:t>
            </w:r>
          </w:p>
        </w:tc>
        <w:tc>
          <w:tcPr>
            <w:tcW w:w="776" w:type="dxa"/>
          </w:tcPr>
          <w:p w:rsidR="00186A27" w:rsidRPr="00186A27" w:rsidRDefault="00186A27" w:rsidP="00186A27">
            <w:pPr>
              <w:pStyle w:val="BodyText"/>
              <w:jc w:val="center"/>
              <w:rPr>
                <w:szCs w:val="22"/>
              </w:rPr>
            </w:pPr>
            <w:r w:rsidRPr="00186A27">
              <w:rPr>
                <w:szCs w:val="22"/>
              </w:rPr>
              <w:t>y</w:t>
            </w:r>
          </w:p>
        </w:tc>
        <w:tc>
          <w:tcPr>
            <w:tcW w:w="777" w:type="dxa"/>
          </w:tcPr>
          <w:p w:rsidR="00186A27" w:rsidRPr="00186A27" w:rsidRDefault="00186A27" w:rsidP="00186A27">
            <w:pPr>
              <w:pStyle w:val="BodyText"/>
              <w:jc w:val="center"/>
              <w:rPr>
                <w:szCs w:val="22"/>
              </w:rPr>
            </w:pPr>
            <w:r w:rsidRPr="00186A27">
              <w:rPr>
                <w:szCs w:val="22"/>
              </w:rPr>
              <w:t>x</w:t>
            </w:r>
          </w:p>
        </w:tc>
        <w:tc>
          <w:tcPr>
            <w:tcW w:w="777" w:type="dxa"/>
          </w:tcPr>
          <w:p w:rsidR="00186A27" w:rsidRPr="00186A27" w:rsidRDefault="00186A27" w:rsidP="00186A27">
            <w:pPr>
              <w:pStyle w:val="BodyText"/>
              <w:jc w:val="center"/>
              <w:rPr>
                <w:szCs w:val="22"/>
              </w:rPr>
            </w:pPr>
            <w:r w:rsidRPr="00186A27">
              <w:rPr>
                <w:szCs w:val="22"/>
              </w:rPr>
              <w:t>y</w:t>
            </w:r>
          </w:p>
        </w:tc>
        <w:tc>
          <w:tcPr>
            <w:tcW w:w="777" w:type="dxa"/>
          </w:tcPr>
          <w:p w:rsidR="00186A27" w:rsidRPr="00186A27" w:rsidRDefault="00186A27" w:rsidP="00186A27">
            <w:pPr>
              <w:pStyle w:val="BodyText"/>
              <w:jc w:val="center"/>
              <w:rPr>
                <w:szCs w:val="22"/>
              </w:rPr>
            </w:pPr>
            <w:r w:rsidRPr="00186A27">
              <w:rPr>
                <w:szCs w:val="22"/>
              </w:rPr>
              <w:t>x</w:t>
            </w:r>
          </w:p>
        </w:tc>
        <w:tc>
          <w:tcPr>
            <w:tcW w:w="777" w:type="dxa"/>
          </w:tcPr>
          <w:p w:rsidR="00186A27" w:rsidRPr="00186A27" w:rsidRDefault="00186A27" w:rsidP="00186A27">
            <w:pPr>
              <w:pStyle w:val="BodyText"/>
              <w:jc w:val="center"/>
              <w:rPr>
                <w:szCs w:val="22"/>
              </w:rPr>
            </w:pPr>
            <w:r w:rsidRPr="00186A27">
              <w:rPr>
                <w:szCs w:val="22"/>
              </w:rPr>
              <w:t>y</w:t>
            </w:r>
          </w:p>
        </w:tc>
        <w:tc>
          <w:tcPr>
            <w:tcW w:w="777" w:type="dxa"/>
          </w:tcPr>
          <w:p w:rsidR="00186A27" w:rsidRPr="00186A27" w:rsidRDefault="00186A27" w:rsidP="00186A27">
            <w:pPr>
              <w:pStyle w:val="BodyText"/>
              <w:jc w:val="center"/>
              <w:rPr>
                <w:szCs w:val="22"/>
              </w:rPr>
            </w:pPr>
            <w:r w:rsidRPr="00186A27">
              <w:rPr>
                <w:szCs w:val="22"/>
              </w:rPr>
              <w:t>x</w:t>
            </w:r>
          </w:p>
        </w:tc>
        <w:tc>
          <w:tcPr>
            <w:tcW w:w="777" w:type="dxa"/>
          </w:tcPr>
          <w:p w:rsidR="00186A27" w:rsidRPr="00186A27" w:rsidRDefault="00186A27" w:rsidP="00186A27">
            <w:pPr>
              <w:pStyle w:val="BodyText"/>
              <w:jc w:val="center"/>
              <w:rPr>
                <w:szCs w:val="22"/>
              </w:rPr>
            </w:pPr>
            <w:r w:rsidRPr="00186A27">
              <w:rPr>
                <w:szCs w:val="22"/>
              </w:rPr>
              <w:t>y</w:t>
            </w:r>
          </w:p>
        </w:tc>
      </w:tr>
      <w:tr w:rsidR="00186A27" w:rsidRPr="00186A27" w:rsidTr="00186A27">
        <w:trPr>
          <w:jc w:val="center"/>
        </w:trPr>
        <w:tc>
          <w:tcPr>
            <w:tcW w:w="1908" w:type="dxa"/>
            <w:vAlign w:val="center"/>
          </w:tcPr>
          <w:p w:rsidR="00186A27" w:rsidRPr="00186A27" w:rsidRDefault="00186A27" w:rsidP="00D77043">
            <w:pPr>
              <w:pStyle w:val="BodyText"/>
              <w:rPr>
                <w:szCs w:val="22"/>
              </w:rPr>
            </w:pPr>
            <w:r w:rsidRPr="00186A27">
              <w:rPr>
                <w:szCs w:val="22"/>
              </w:rPr>
              <w:t>Red</w:t>
            </w:r>
          </w:p>
        </w:tc>
        <w:tc>
          <w:tcPr>
            <w:tcW w:w="776" w:type="dxa"/>
            <w:vAlign w:val="center"/>
          </w:tcPr>
          <w:p w:rsidR="00186A27" w:rsidRPr="00186A27" w:rsidRDefault="00186A27" w:rsidP="00186A27">
            <w:pPr>
              <w:pStyle w:val="BodyText"/>
              <w:jc w:val="center"/>
              <w:rPr>
                <w:sz w:val="18"/>
                <w:szCs w:val="18"/>
              </w:rPr>
            </w:pPr>
            <w:r w:rsidRPr="00186A27">
              <w:rPr>
                <w:sz w:val="18"/>
                <w:szCs w:val="18"/>
              </w:rPr>
              <w:t>0.690</w:t>
            </w:r>
          </w:p>
        </w:tc>
        <w:tc>
          <w:tcPr>
            <w:tcW w:w="776" w:type="dxa"/>
            <w:vAlign w:val="center"/>
          </w:tcPr>
          <w:p w:rsidR="00186A27" w:rsidRPr="00186A27" w:rsidRDefault="00186A27" w:rsidP="00186A27">
            <w:pPr>
              <w:pStyle w:val="BodyText"/>
              <w:jc w:val="center"/>
              <w:rPr>
                <w:sz w:val="18"/>
                <w:szCs w:val="18"/>
              </w:rPr>
            </w:pPr>
            <w:r w:rsidRPr="00186A27">
              <w:rPr>
                <w:sz w:val="18"/>
                <w:szCs w:val="18"/>
              </w:rPr>
              <w:t>0.310</w:t>
            </w:r>
          </w:p>
        </w:tc>
        <w:tc>
          <w:tcPr>
            <w:tcW w:w="777" w:type="dxa"/>
            <w:vAlign w:val="center"/>
          </w:tcPr>
          <w:p w:rsidR="00186A27" w:rsidRPr="00186A27" w:rsidRDefault="00186A27" w:rsidP="00186A27">
            <w:pPr>
              <w:pStyle w:val="BodyText"/>
              <w:jc w:val="center"/>
              <w:rPr>
                <w:sz w:val="18"/>
                <w:szCs w:val="18"/>
              </w:rPr>
            </w:pPr>
            <w:r w:rsidRPr="00186A27">
              <w:rPr>
                <w:sz w:val="18"/>
                <w:szCs w:val="18"/>
              </w:rPr>
              <w:t>0.595</w:t>
            </w:r>
          </w:p>
        </w:tc>
        <w:tc>
          <w:tcPr>
            <w:tcW w:w="777" w:type="dxa"/>
            <w:vAlign w:val="center"/>
          </w:tcPr>
          <w:p w:rsidR="00186A27" w:rsidRPr="00186A27" w:rsidRDefault="00186A27" w:rsidP="00186A27">
            <w:pPr>
              <w:pStyle w:val="BodyText"/>
              <w:jc w:val="center"/>
              <w:rPr>
                <w:sz w:val="18"/>
                <w:szCs w:val="18"/>
              </w:rPr>
            </w:pPr>
            <w:r w:rsidRPr="00186A27">
              <w:rPr>
                <w:sz w:val="18"/>
                <w:szCs w:val="18"/>
              </w:rPr>
              <w:t>0.315</w:t>
            </w:r>
          </w:p>
        </w:tc>
        <w:tc>
          <w:tcPr>
            <w:tcW w:w="777" w:type="dxa"/>
            <w:vAlign w:val="center"/>
          </w:tcPr>
          <w:p w:rsidR="00186A27" w:rsidRPr="00186A27" w:rsidRDefault="00186A27" w:rsidP="00186A27">
            <w:pPr>
              <w:pStyle w:val="BodyText"/>
              <w:jc w:val="center"/>
              <w:rPr>
                <w:sz w:val="18"/>
                <w:szCs w:val="18"/>
              </w:rPr>
            </w:pPr>
            <w:r w:rsidRPr="00186A27">
              <w:rPr>
                <w:sz w:val="18"/>
                <w:szCs w:val="18"/>
              </w:rPr>
              <w:t>0.569</w:t>
            </w:r>
          </w:p>
        </w:tc>
        <w:tc>
          <w:tcPr>
            <w:tcW w:w="777" w:type="dxa"/>
            <w:vAlign w:val="center"/>
          </w:tcPr>
          <w:p w:rsidR="00186A27" w:rsidRPr="00186A27" w:rsidRDefault="00186A27" w:rsidP="00186A27">
            <w:pPr>
              <w:pStyle w:val="BodyText"/>
              <w:jc w:val="center"/>
              <w:rPr>
                <w:sz w:val="18"/>
                <w:szCs w:val="18"/>
              </w:rPr>
            </w:pPr>
            <w:r w:rsidRPr="00186A27">
              <w:rPr>
                <w:sz w:val="18"/>
                <w:szCs w:val="18"/>
              </w:rPr>
              <w:t>0.341</w:t>
            </w:r>
          </w:p>
        </w:tc>
        <w:tc>
          <w:tcPr>
            <w:tcW w:w="777" w:type="dxa"/>
            <w:vAlign w:val="center"/>
          </w:tcPr>
          <w:p w:rsidR="00186A27" w:rsidRPr="00186A27" w:rsidRDefault="00186A27" w:rsidP="00186A27">
            <w:pPr>
              <w:pStyle w:val="BodyText"/>
              <w:jc w:val="center"/>
              <w:rPr>
                <w:sz w:val="18"/>
                <w:szCs w:val="18"/>
              </w:rPr>
            </w:pPr>
            <w:r w:rsidRPr="00186A27">
              <w:rPr>
                <w:sz w:val="18"/>
                <w:szCs w:val="18"/>
              </w:rPr>
              <w:t>0.655</w:t>
            </w:r>
          </w:p>
        </w:tc>
        <w:tc>
          <w:tcPr>
            <w:tcW w:w="777" w:type="dxa"/>
            <w:vAlign w:val="center"/>
          </w:tcPr>
          <w:p w:rsidR="00186A27" w:rsidRPr="00186A27" w:rsidRDefault="00186A27" w:rsidP="00186A27">
            <w:pPr>
              <w:pStyle w:val="BodyText"/>
              <w:jc w:val="center"/>
              <w:rPr>
                <w:sz w:val="18"/>
                <w:szCs w:val="18"/>
              </w:rPr>
            </w:pPr>
            <w:r w:rsidRPr="00186A27">
              <w:rPr>
                <w:sz w:val="18"/>
                <w:szCs w:val="18"/>
              </w:rPr>
              <w:t>0.345</w:t>
            </w:r>
          </w:p>
        </w:tc>
      </w:tr>
      <w:tr w:rsidR="00186A27" w:rsidRPr="00186A27" w:rsidTr="00186A27">
        <w:trPr>
          <w:jc w:val="center"/>
        </w:trPr>
        <w:tc>
          <w:tcPr>
            <w:tcW w:w="1908" w:type="dxa"/>
            <w:vAlign w:val="center"/>
          </w:tcPr>
          <w:p w:rsidR="00186A27" w:rsidRPr="00186A27" w:rsidRDefault="00186A27" w:rsidP="00D77043">
            <w:pPr>
              <w:pStyle w:val="BodyText"/>
              <w:rPr>
                <w:szCs w:val="22"/>
              </w:rPr>
            </w:pPr>
            <w:r w:rsidRPr="00186A27">
              <w:rPr>
                <w:szCs w:val="22"/>
              </w:rPr>
              <w:t>Orange</w:t>
            </w:r>
          </w:p>
        </w:tc>
        <w:tc>
          <w:tcPr>
            <w:tcW w:w="776" w:type="dxa"/>
            <w:vAlign w:val="center"/>
          </w:tcPr>
          <w:p w:rsidR="00186A27" w:rsidRPr="00186A27" w:rsidRDefault="00186A27" w:rsidP="00186A27">
            <w:pPr>
              <w:pStyle w:val="BodyText"/>
              <w:jc w:val="center"/>
              <w:rPr>
                <w:sz w:val="18"/>
                <w:szCs w:val="18"/>
              </w:rPr>
            </w:pPr>
            <w:r w:rsidRPr="00186A27">
              <w:rPr>
                <w:sz w:val="18"/>
                <w:szCs w:val="18"/>
              </w:rPr>
              <w:t>0.610</w:t>
            </w:r>
          </w:p>
        </w:tc>
        <w:tc>
          <w:tcPr>
            <w:tcW w:w="776" w:type="dxa"/>
            <w:vAlign w:val="center"/>
          </w:tcPr>
          <w:p w:rsidR="00186A27" w:rsidRPr="00186A27" w:rsidRDefault="00186A27" w:rsidP="00186A27">
            <w:pPr>
              <w:pStyle w:val="BodyText"/>
              <w:jc w:val="center"/>
              <w:rPr>
                <w:sz w:val="18"/>
                <w:szCs w:val="18"/>
              </w:rPr>
            </w:pPr>
            <w:r w:rsidRPr="00186A27">
              <w:rPr>
                <w:sz w:val="18"/>
                <w:szCs w:val="18"/>
              </w:rPr>
              <w:t>0.390</w:t>
            </w:r>
          </w:p>
        </w:tc>
        <w:tc>
          <w:tcPr>
            <w:tcW w:w="777" w:type="dxa"/>
            <w:vAlign w:val="center"/>
          </w:tcPr>
          <w:p w:rsidR="00186A27" w:rsidRPr="00186A27" w:rsidRDefault="00186A27" w:rsidP="00186A27">
            <w:pPr>
              <w:pStyle w:val="BodyText"/>
              <w:jc w:val="center"/>
              <w:rPr>
                <w:sz w:val="18"/>
                <w:szCs w:val="18"/>
              </w:rPr>
            </w:pPr>
            <w:r w:rsidRPr="00186A27">
              <w:rPr>
                <w:sz w:val="18"/>
                <w:szCs w:val="18"/>
              </w:rPr>
              <w:t>0.535</w:t>
            </w:r>
          </w:p>
        </w:tc>
        <w:tc>
          <w:tcPr>
            <w:tcW w:w="777" w:type="dxa"/>
            <w:vAlign w:val="center"/>
          </w:tcPr>
          <w:p w:rsidR="00186A27" w:rsidRPr="00186A27" w:rsidRDefault="00186A27" w:rsidP="00186A27">
            <w:pPr>
              <w:pStyle w:val="BodyText"/>
              <w:jc w:val="center"/>
              <w:rPr>
                <w:sz w:val="18"/>
                <w:szCs w:val="18"/>
              </w:rPr>
            </w:pPr>
            <w:r w:rsidRPr="00186A27">
              <w:rPr>
                <w:sz w:val="18"/>
                <w:szCs w:val="18"/>
              </w:rPr>
              <w:t>0.375</w:t>
            </w:r>
          </w:p>
        </w:tc>
        <w:tc>
          <w:tcPr>
            <w:tcW w:w="777" w:type="dxa"/>
            <w:vAlign w:val="center"/>
          </w:tcPr>
          <w:p w:rsidR="00186A27" w:rsidRPr="00186A27" w:rsidRDefault="00186A27" w:rsidP="00186A27">
            <w:pPr>
              <w:pStyle w:val="BodyText"/>
              <w:jc w:val="center"/>
              <w:rPr>
                <w:sz w:val="18"/>
                <w:szCs w:val="18"/>
              </w:rPr>
            </w:pPr>
            <w:r w:rsidRPr="00186A27">
              <w:rPr>
                <w:sz w:val="18"/>
                <w:szCs w:val="18"/>
              </w:rPr>
              <w:t>0.506</w:t>
            </w:r>
          </w:p>
        </w:tc>
        <w:tc>
          <w:tcPr>
            <w:tcW w:w="777" w:type="dxa"/>
            <w:vAlign w:val="center"/>
          </w:tcPr>
          <w:p w:rsidR="00186A27" w:rsidRPr="00186A27" w:rsidRDefault="00186A27" w:rsidP="00186A27">
            <w:pPr>
              <w:pStyle w:val="BodyText"/>
              <w:jc w:val="center"/>
              <w:rPr>
                <w:sz w:val="18"/>
                <w:szCs w:val="18"/>
              </w:rPr>
            </w:pPr>
            <w:r w:rsidRPr="00186A27">
              <w:rPr>
                <w:sz w:val="18"/>
                <w:szCs w:val="18"/>
              </w:rPr>
              <w:t>0.404</w:t>
            </w:r>
          </w:p>
        </w:tc>
        <w:tc>
          <w:tcPr>
            <w:tcW w:w="777" w:type="dxa"/>
            <w:vAlign w:val="center"/>
          </w:tcPr>
          <w:p w:rsidR="00186A27" w:rsidRPr="00186A27" w:rsidRDefault="00186A27" w:rsidP="00186A27">
            <w:pPr>
              <w:pStyle w:val="BodyText"/>
              <w:jc w:val="center"/>
              <w:rPr>
                <w:sz w:val="18"/>
                <w:szCs w:val="18"/>
              </w:rPr>
            </w:pPr>
            <w:r w:rsidRPr="00186A27">
              <w:rPr>
                <w:sz w:val="18"/>
                <w:szCs w:val="18"/>
              </w:rPr>
              <w:t>0.570</w:t>
            </w:r>
          </w:p>
        </w:tc>
        <w:tc>
          <w:tcPr>
            <w:tcW w:w="777" w:type="dxa"/>
            <w:vAlign w:val="center"/>
          </w:tcPr>
          <w:p w:rsidR="00186A27" w:rsidRPr="00186A27" w:rsidRDefault="00186A27" w:rsidP="00186A27">
            <w:pPr>
              <w:pStyle w:val="BodyText"/>
              <w:jc w:val="center"/>
              <w:rPr>
                <w:sz w:val="18"/>
                <w:szCs w:val="18"/>
              </w:rPr>
            </w:pPr>
            <w:r w:rsidRPr="00186A27">
              <w:rPr>
                <w:sz w:val="18"/>
                <w:szCs w:val="18"/>
              </w:rPr>
              <w:t>0.429</w:t>
            </w:r>
          </w:p>
        </w:tc>
      </w:tr>
      <w:tr w:rsidR="00186A27" w:rsidRPr="00186A27" w:rsidTr="00186A27">
        <w:trPr>
          <w:jc w:val="center"/>
        </w:trPr>
        <w:tc>
          <w:tcPr>
            <w:tcW w:w="1908" w:type="dxa"/>
            <w:vAlign w:val="center"/>
          </w:tcPr>
          <w:p w:rsidR="00186A27" w:rsidRPr="00186A27" w:rsidRDefault="00186A27" w:rsidP="00D77043">
            <w:pPr>
              <w:pStyle w:val="BodyText"/>
              <w:rPr>
                <w:szCs w:val="22"/>
              </w:rPr>
            </w:pPr>
            <w:r w:rsidRPr="00186A27">
              <w:rPr>
                <w:szCs w:val="22"/>
              </w:rPr>
              <w:t>Yellow</w:t>
            </w:r>
          </w:p>
        </w:tc>
        <w:tc>
          <w:tcPr>
            <w:tcW w:w="776" w:type="dxa"/>
            <w:vAlign w:val="center"/>
          </w:tcPr>
          <w:p w:rsidR="00186A27" w:rsidRPr="00186A27" w:rsidRDefault="00186A27" w:rsidP="00186A27">
            <w:pPr>
              <w:pStyle w:val="BodyText"/>
              <w:jc w:val="center"/>
              <w:rPr>
                <w:sz w:val="18"/>
                <w:szCs w:val="18"/>
              </w:rPr>
            </w:pPr>
            <w:r w:rsidRPr="00186A27">
              <w:rPr>
                <w:sz w:val="18"/>
                <w:szCs w:val="18"/>
              </w:rPr>
              <w:t>0.522</w:t>
            </w:r>
          </w:p>
        </w:tc>
        <w:tc>
          <w:tcPr>
            <w:tcW w:w="776" w:type="dxa"/>
            <w:vAlign w:val="center"/>
          </w:tcPr>
          <w:p w:rsidR="00186A27" w:rsidRPr="00186A27" w:rsidRDefault="00186A27" w:rsidP="00186A27">
            <w:pPr>
              <w:pStyle w:val="BodyText"/>
              <w:jc w:val="center"/>
              <w:rPr>
                <w:sz w:val="18"/>
                <w:szCs w:val="18"/>
              </w:rPr>
            </w:pPr>
            <w:r w:rsidRPr="00186A27">
              <w:rPr>
                <w:sz w:val="18"/>
                <w:szCs w:val="18"/>
              </w:rPr>
              <w:t>0.477</w:t>
            </w:r>
          </w:p>
        </w:tc>
        <w:tc>
          <w:tcPr>
            <w:tcW w:w="777" w:type="dxa"/>
            <w:vAlign w:val="center"/>
          </w:tcPr>
          <w:p w:rsidR="00186A27" w:rsidRPr="00186A27" w:rsidRDefault="00186A27" w:rsidP="00186A27">
            <w:pPr>
              <w:pStyle w:val="BodyText"/>
              <w:jc w:val="center"/>
              <w:rPr>
                <w:sz w:val="18"/>
                <w:szCs w:val="18"/>
              </w:rPr>
            </w:pPr>
            <w:r w:rsidRPr="00186A27">
              <w:rPr>
                <w:sz w:val="18"/>
                <w:szCs w:val="18"/>
              </w:rPr>
              <w:t>0.470</w:t>
            </w:r>
          </w:p>
        </w:tc>
        <w:tc>
          <w:tcPr>
            <w:tcW w:w="777" w:type="dxa"/>
            <w:vAlign w:val="center"/>
          </w:tcPr>
          <w:p w:rsidR="00186A27" w:rsidRPr="00186A27" w:rsidRDefault="00186A27" w:rsidP="00186A27">
            <w:pPr>
              <w:pStyle w:val="BodyText"/>
              <w:jc w:val="center"/>
              <w:rPr>
                <w:sz w:val="18"/>
                <w:szCs w:val="18"/>
              </w:rPr>
            </w:pPr>
            <w:r w:rsidRPr="00186A27">
              <w:rPr>
                <w:sz w:val="18"/>
                <w:szCs w:val="18"/>
              </w:rPr>
              <w:t>0.440</w:t>
            </w:r>
          </w:p>
        </w:tc>
        <w:tc>
          <w:tcPr>
            <w:tcW w:w="777" w:type="dxa"/>
            <w:vAlign w:val="center"/>
          </w:tcPr>
          <w:p w:rsidR="00186A27" w:rsidRPr="00186A27" w:rsidRDefault="00186A27" w:rsidP="00186A27">
            <w:pPr>
              <w:pStyle w:val="BodyText"/>
              <w:jc w:val="center"/>
              <w:rPr>
                <w:sz w:val="18"/>
                <w:szCs w:val="18"/>
              </w:rPr>
            </w:pPr>
            <w:r w:rsidRPr="00186A27">
              <w:rPr>
                <w:sz w:val="18"/>
                <w:szCs w:val="18"/>
              </w:rPr>
              <w:t>0.427</w:t>
            </w:r>
          </w:p>
        </w:tc>
        <w:tc>
          <w:tcPr>
            <w:tcW w:w="777" w:type="dxa"/>
            <w:vAlign w:val="center"/>
          </w:tcPr>
          <w:p w:rsidR="00186A27" w:rsidRPr="00186A27" w:rsidRDefault="00186A27" w:rsidP="00186A27">
            <w:pPr>
              <w:pStyle w:val="BodyText"/>
              <w:jc w:val="center"/>
              <w:rPr>
                <w:sz w:val="18"/>
                <w:szCs w:val="18"/>
              </w:rPr>
            </w:pPr>
            <w:r w:rsidRPr="00186A27">
              <w:rPr>
                <w:sz w:val="18"/>
                <w:szCs w:val="18"/>
              </w:rPr>
              <w:t>0.483</w:t>
            </w:r>
          </w:p>
        </w:tc>
        <w:tc>
          <w:tcPr>
            <w:tcW w:w="777" w:type="dxa"/>
            <w:vAlign w:val="center"/>
          </w:tcPr>
          <w:p w:rsidR="00186A27" w:rsidRPr="00186A27" w:rsidRDefault="00186A27" w:rsidP="00186A27">
            <w:pPr>
              <w:pStyle w:val="BodyText"/>
              <w:jc w:val="center"/>
              <w:rPr>
                <w:sz w:val="18"/>
                <w:szCs w:val="18"/>
              </w:rPr>
            </w:pPr>
            <w:r w:rsidRPr="00186A27">
              <w:rPr>
                <w:sz w:val="18"/>
                <w:szCs w:val="18"/>
              </w:rPr>
              <w:t>0.465</w:t>
            </w:r>
          </w:p>
        </w:tc>
        <w:tc>
          <w:tcPr>
            <w:tcW w:w="777" w:type="dxa"/>
            <w:vAlign w:val="center"/>
          </w:tcPr>
          <w:p w:rsidR="00186A27" w:rsidRPr="00186A27" w:rsidRDefault="00186A27" w:rsidP="00186A27">
            <w:pPr>
              <w:pStyle w:val="BodyText"/>
              <w:jc w:val="center"/>
              <w:rPr>
                <w:sz w:val="18"/>
                <w:szCs w:val="18"/>
              </w:rPr>
            </w:pPr>
            <w:r w:rsidRPr="00186A27">
              <w:rPr>
                <w:sz w:val="18"/>
                <w:szCs w:val="18"/>
              </w:rPr>
              <w:t>0.534</w:t>
            </w:r>
          </w:p>
        </w:tc>
      </w:tr>
      <w:tr w:rsidR="00186A27" w:rsidRPr="00186A27" w:rsidTr="00186A27">
        <w:trPr>
          <w:jc w:val="center"/>
        </w:trPr>
        <w:tc>
          <w:tcPr>
            <w:tcW w:w="1908" w:type="dxa"/>
            <w:vAlign w:val="center"/>
          </w:tcPr>
          <w:p w:rsidR="00186A27" w:rsidRPr="00186A27" w:rsidRDefault="00186A27" w:rsidP="00D77043">
            <w:pPr>
              <w:pStyle w:val="BodyText"/>
              <w:rPr>
                <w:szCs w:val="22"/>
              </w:rPr>
            </w:pPr>
            <w:r w:rsidRPr="00186A27">
              <w:rPr>
                <w:szCs w:val="22"/>
              </w:rPr>
              <w:t>Green (Preferred)</w:t>
            </w:r>
          </w:p>
        </w:tc>
        <w:tc>
          <w:tcPr>
            <w:tcW w:w="776" w:type="dxa"/>
            <w:vAlign w:val="center"/>
          </w:tcPr>
          <w:p w:rsidR="00186A27" w:rsidRPr="00186A27" w:rsidRDefault="00186A27" w:rsidP="00186A27">
            <w:pPr>
              <w:pStyle w:val="BodyText"/>
              <w:jc w:val="center"/>
              <w:rPr>
                <w:sz w:val="18"/>
                <w:szCs w:val="18"/>
              </w:rPr>
            </w:pPr>
            <w:r w:rsidRPr="00186A27">
              <w:rPr>
                <w:sz w:val="18"/>
                <w:szCs w:val="18"/>
              </w:rPr>
              <w:t>0.313</w:t>
            </w:r>
          </w:p>
        </w:tc>
        <w:tc>
          <w:tcPr>
            <w:tcW w:w="776" w:type="dxa"/>
            <w:vAlign w:val="center"/>
          </w:tcPr>
          <w:p w:rsidR="00186A27" w:rsidRPr="00186A27" w:rsidRDefault="00186A27" w:rsidP="00186A27">
            <w:pPr>
              <w:pStyle w:val="BodyText"/>
              <w:jc w:val="center"/>
              <w:rPr>
                <w:sz w:val="18"/>
                <w:szCs w:val="18"/>
              </w:rPr>
            </w:pPr>
            <w:r w:rsidRPr="00186A27">
              <w:rPr>
                <w:sz w:val="18"/>
                <w:szCs w:val="18"/>
              </w:rPr>
              <w:t>0.682</w:t>
            </w:r>
          </w:p>
        </w:tc>
        <w:tc>
          <w:tcPr>
            <w:tcW w:w="777" w:type="dxa"/>
            <w:vAlign w:val="center"/>
          </w:tcPr>
          <w:p w:rsidR="00186A27" w:rsidRPr="00186A27" w:rsidRDefault="00186A27" w:rsidP="00186A27">
            <w:pPr>
              <w:pStyle w:val="BodyText"/>
              <w:jc w:val="center"/>
              <w:rPr>
                <w:sz w:val="18"/>
                <w:szCs w:val="18"/>
              </w:rPr>
            </w:pPr>
            <w:r w:rsidRPr="00186A27">
              <w:rPr>
                <w:sz w:val="18"/>
                <w:szCs w:val="18"/>
              </w:rPr>
              <w:t>0.313</w:t>
            </w:r>
          </w:p>
        </w:tc>
        <w:tc>
          <w:tcPr>
            <w:tcW w:w="777" w:type="dxa"/>
            <w:vAlign w:val="center"/>
          </w:tcPr>
          <w:p w:rsidR="00186A27" w:rsidRPr="00186A27" w:rsidRDefault="00186A27" w:rsidP="00186A27">
            <w:pPr>
              <w:pStyle w:val="BodyText"/>
              <w:jc w:val="center"/>
              <w:rPr>
                <w:sz w:val="18"/>
                <w:szCs w:val="18"/>
              </w:rPr>
            </w:pPr>
            <w:r w:rsidRPr="00186A27">
              <w:rPr>
                <w:sz w:val="18"/>
                <w:szCs w:val="18"/>
              </w:rPr>
              <w:t>0.453</w:t>
            </w:r>
          </w:p>
        </w:tc>
        <w:tc>
          <w:tcPr>
            <w:tcW w:w="777" w:type="dxa"/>
            <w:vAlign w:val="center"/>
          </w:tcPr>
          <w:p w:rsidR="00186A27" w:rsidRPr="00186A27" w:rsidRDefault="00186A27" w:rsidP="00186A27">
            <w:pPr>
              <w:pStyle w:val="BodyText"/>
              <w:jc w:val="center"/>
              <w:rPr>
                <w:sz w:val="18"/>
                <w:szCs w:val="18"/>
              </w:rPr>
            </w:pPr>
            <w:r w:rsidRPr="00186A27">
              <w:rPr>
                <w:sz w:val="18"/>
                <w:szCs w:val="18"/>
              </w:rPr>
              <w:t>0.238</w:t>
            </w:r>
          </w:p>
        </w:tc>
        <w:tc>
          <w:tcPr>
            <w:tcW w:w="777" w:type="dxa"/>
            <w:vAlign w:val="center"/>
          </w:tcPr>
          <w:p w:rsidR="00186A27" w:rsidRPr="00186A27" w:rsidRDefault="00186A27" w:rsidP="00186A27">
            <w:pPr>
              <w:pStyle w:val="BodyText"/>
              <w:jc w:val="center"/>
              <w:rPr>
                <w:sz w:val="18"/>
                <w:szCs w:val="18"/>
              </w:rPr>
            </w:pPr>
            <w:r w:rsidRPr="00186A27">
              <w:rPr>
                <w:sz w:val="18"/>
                <w:szCs w:val="18"/>
              </w:rPr>
              <w:t>0.402</w:t>
            </w:r>
          </w:p>
        </w:tc>
        <w:tc>
          <w:tcPr>
            <w:tcW w:w="777" w:type="dxa"/>
            <w:vAlign w:val="center"/>
          </w:tcPr>
          <w:p w:rsidR="00186A27" w:rsidRPr="00186A27" w:rsidRDefault="00186A27" w:rsidP="00186A27">
            <w:pPr>
              <w:pStyle w:val="BodyText"/>
              <w:jc w:val="center"/>
              <w:rPr>
                <w:sz w:val="18"/>
                <w:szCs w:val="18"/>
              </w:rPr>
            </w:pPr>
            <w:r w:rsidRPr="00186A27">
              <w:rPr>
                <w:sz w:val="18"/>
                <w:szCs w:val="18"/>
              </w:rPr>
              <w:t>0.004</w:t>
            </w:r>
          </w:p>
        </w:tc>
        <w:tc>
          <w:tcPr>
            <w:tcW w:w="777" w:type="dxa"/>
            <w:vAlign w:val="center"/>
          </w:tcPr>
          <w:p w:rsidR="00186A27" w:rsidRPr="00186A27" w:rsidRDefault="00186A27" w:rsidP="00186A27">
            <w:pPr>
              <w:pStyle w:val="BodyText"/>
              <w:jc w:val="center"/>
              <w:rPr>
                <w:sz w:val="18"/>
                <w:szCs w:val="18"/>
              </w:rPr>
            </w:pPr>
            <w:r w:rsidRPr="00186A27">
              <w:rPr>
                <w:sz w:val="18"/>
                <w:szCs w:val="18"/>
              </w:rPr>
              <w:t>0.632</w:t>
            </w:r>
          </w:p>
        </w:tc>
      </w:tr>
      <w:tr w:rsidR="00186A27" w:rsidRPr="00186A27" w:rsidTr="00186A27">
        <w:trPr>
          <w:jc w:val="center"/>
        </w:trPr>
        <w:tc>
          <w:tcPr>
            <w:tcW w:w="1908" w:type="dxa"/>
            <w:vAlign w:val="center"/>
          </w:tcPr>
          <w:p w:rsidR="00186A27" w:rsidRPr="00186A27" w:rsidRDefault="00186A27" w:rsidP="00D77043">
            <w:pPr>
              <w:pStyle w:val="BodyText"/>
              <w:rPr>
                <w:szCs w:val="22"/>
              </w:rPr>
            </w:pPr>
            <w:r w:rsidRPr="00186A27">
              <w:rPr>
                <w:szCs w:val="22"/>
              </w:rPr>
              <w:t>Green (General)</w:t>
            </w:r>
          </w:p>
        </w:tc>
        <w:tc>
          <w:tcPr>
            <w:tcW w:w="776" w:type="dxa"/>
            <w:vAlign w:val="center"/>
          </w:tcPr>
          <w:p w:rsidR="00186A27" w:rsidRPr="00186A27" w:rsidRDefault="00186A27" w:rsidP="00186A27">
            <w:pPr>
              <w:pStyle w:val="BodyText"/>
              <w:jc w:val="center"/>
              <w:rPr>
                <w:sz w:val="18"/>
                <w:szCs w:val="18"/>
              </w:rPr>
            </w:pPr>
            <w:r w:rsidRPr="00186A27">
              <w:rPr>
                <w:sz w:val="18"/>
                <w:szCs w:val="18"/>
              </w:rPr>
              <w:t>0.313</w:t>
            </w:r>
          </w:p>
        </w:tc>
        <w:tc>
          <w:tcPr>
            <w:tcW w:w="776" w:type="dxa"/>
            <w:vAlign w:val="center"/>
          </w:tcPr>
          <w:p w:rsidR="00186A27" w:rsidRPr="00186A27" w:rsidRDefault="00186A27" w:rsidP="00186A27">
            <w:pPr>
              <w:pStyle w:val="BodyText"/>
              <w:jc w:val="center"/>
              <w:rPr>
                <w:sz w:val="18"/>
                <w:szCs w:val="18"/>
              </w:rPr>
            </w:pPr>
            <w:r w:rsidRPr="00186A27">
              <w:rPr>
                <w:sz w:val="18"/>
                <w:szCs w:val="18"/>
              </w:rPr>
              <w:t>0.682</w:t>
            </w:r>
          </w:p>
        </w:tc>
        <w:tc>
          <w:tcPr>
            <w:tcW w:w="777" w:type="dxa"/>
            <w:vAlign w:val="center"/>
          </w:tcPr>
          <w:p w:rsidR="00186A27" w:rsidRPr="00186A27" w:rsidRDefault="00186A27" w:rsidP="00186A27">
            <w:pPr>
              <w:pStyle w:val="BodyText"/>
              <w:jc w:val="center"/>
              <w:rPr>
                <w:sz w:val="18"/>
                <w:szCs w:val="18"/>
              </w:rPr>
            </w:pPr>
            <w:r w:rsidRPr="00186A27">
              <w:rPr>
                <w:sz w:val="18"/>
                <w:szCs w:val="18"/>
              </w:rPr>
              <w:t>0.313</w:t>
            </w:r>
          </w:p>
        </w:tc>
        <w:tc>
          <w:tcPr>
            <w:tcW w:w="777" w:type="dxa"/>
            <w:vAlign w:val="center"/>
          </w:tcPr>
          <w:p w:rsidR="00186A27" w:rsidRPr="00186A27" w:rsidRDefault="00186A27" w:rsidP="00186A27">
            <w:pPr>
              <w:pStyle w:val="BodyText"/>
              <w:jc w:val="center"/>
              <w:rPr>
                <w:sz w:val="18"/>
                <w:szCs w:val="18"/>
              </w:rPr>
            </w:pPr>
            <w:r w:rsidRPr="00186A27">
              <w:rPr>
                <w:sz w:val="18"/>
                <w:szCs w:val="18"/>
              </w:rPr>
              <w:t>0.453</w:t>
            </w:r>
          </w:p>
        </w:tc>
        <w:tc>
          <w:tcPr>
            <w:tcW w:w="777" w:type="dxa"/>
            <w:vAlign w:val="center"/>
          </w:tcPr>
          <w:p w:rsidR="00186A27" w:rsidRPr="00186A27" w:rsidRDefault="00186A27" w:rsidP="00186A27">
            <w:pPr>
              <w:pStyle w:val="BodyText"/>
              <w:jc w:val="center"/>
              <w:rPr>
                <w:sz w:val="18"/>
                <w:szCs w:val="18"/>
              </w:rPr>
            </w:pPr>
            <w:r w:rsidRPr="00186A27">
              <w:rPr>
                <w:sz w:val="18"/>
                <w:szCs w:val="18"/>
              </w:rPr>
              <w:t>0.210</w:t>
            </w:r>
          </w:p>
        </w:tc>
        <w:tc>
          <w:tcPr>
            <w:tcW w:w="777" w:type="dxa"/>
            <w:vAlign w:val="center"/>
          </w:tcPr>
          <w:p w:rsidR="00186A27" w:rsidRPr="00186A27" w:rsidRDefault="00186A27" w:rsidP="00186A27">
            <w:pPr>
              <w:pStyle w:val="BodyText"/>
              <w:jc w:val="center"/>
              <w:rPr>
                <w:sz w:val="18"/>
                <w:szCs w:val="18"/>
              </w:rPr>
            </w:pPr>
            <w:r w:rsidRPr="00186A27">
              <w:rPr>
                <w:sz w:val="18"/>
                <w:szCs w:val="18"/>
              </w:rPr>
              <w:t>0.383</w:t>
            </w:r>
          </w:p>
        </w:tc>
        <w:tc>
          <w:tcPr>
            <w:tcW w:w="777" w:type="dxa"/>
            <w:vAlign w:val="center"/>
          </w:tcPr>
          <w:p w:rsidR="00186A27" w:rsidRPr="00186A27" w:rsidRDefault="00186A27" w:rsidP="00186A27">
            <w:pPr>
              <w:pStyle w:val="BodyText"/>
              <w:jc w:val="center"/>
              <w:rPr>
                <w:sz w:val="18"/>
                <w:szCs w:val="18"/>
              </w:rPr>
            </w:pPr>
            <w:r w:rsidRPr="00186A27">
              <w:rPr>
                <w:sz w:val="18"/>
                <w:szCs w:val="18"/>
              </w:rPr>
              <w:t>0.015</w:t>
            </w:r>
          </w:p>
        </w:tc>
        <w:tc>
          <w:tcPr>
            <w:tcW w:w="777" w:type="dxa"/>
            <w:vAlign w:val="center"/>
          </w:tcPr>
          <w:p w:rsidR="00186A27" w:rsidRPr="00186A27" w:rsidRDefault="00186A27" w:rsidP="00186A27">
            <w:pPr>
              <w:pStyle w:val="BodyText"/>
              <w:jc w:val="center"/>
              <w:rPr>
                <w:sz w:val="18"/>
                <w:szCs w:val="18"/>
              </w:rPr>
            </w:pPr>
            <w:r w:rsidRPr="00186A27">
              <w:rPr>
                <w:sz w:val="18"/>
                <w:szCs w:val="18"/>
              </w:rPr>
              <w:t>0.485</w:t>
            </w:r>
          </w:p>
        </w:tc>
      </w:tr>
      <w:tr w:rsidR="00186A27" w:rsidRPr="00186A27" w:rsidTr="00186A27">
        <w:trPr>
          <w:jc w:val="center"/>
        </w:trPr>
        <w:tc>
          <w:tcPr>
            <w:tcW w:w="1908" w:type="dxa"/>
            <w:vAlign w:val="center"/>
          </w:tcPr>
          <w:p w:rsidR="00186A27" w:rsidRPr="00186A27" w:rsidRDefault="00186A27" w:rsidP="00D77043">
            <w:pPr>
              <w:pStyle w:val="BodyText"/>
              <w:rPr>
                <w:szCs w:val="22"/>
              </w:rPr>
            </w:pPr>
            <w:r w:rsidRPr="00186A27">
              <w:rPr>
                <w:szCs w:val="22"/>
              </w:rPr>
              <w:t>Blue</w:t>
            </w:r>
          </w:p>
        </w:tc>
        <w:tc>
          <w:tcPr>
            <w:tcW w:w="776" w:type="dxa"/>
            <w:vAlign w:val="center"/>
          </w:tcPr>
          <w:p w:rsidR="00186A27" w:rsidRPr="00186A27" w:rsidRDefault="00186A27" w:rsidP="00186A27">
            <w:pPr>
              <w:pStyle w:val="BodyText"/>
              <w:jc w:val="center"/>
              <w:rPr>
                <w:sz w:val="18"/>
                <w:szCs w:val="18"/>
              </w:rPr>
            </w:pPr>
            <w:r w:rsidRPr="00186A27">
              <w:rPr>
                <w:sz w:val="18"/>
                <w:szCs w:val="18"/>
              </w:rPr>
              <w:t>0.078</w:t>
            </w:r>
          </w:p>
        </w:tc>
        <w:tc>
          <w:tcPr>
            <w:tcW w:w="776" w:type="dxa"/>
            <w:vAlign w:val="center"/>
          </w:tcPr>
          <w:p w:rsidR="00186A27" w:rsidRPr="00186A27" w:rsidRDefault="00186A27" w:rsidP="00186A27">
            <w:pPr>
              <w:pStyle w:val="BodyText"/>
              <w:jc w:val="center"/>
              <w:rPr>
                <w:sz w:val="18"/>
                <w:szCs w:val="18"/>
              </w:rPr>
            </w:pPr>
            <w:r w:rsidRPr="00186A27">
              <w:rPr>
                <w:sz w:val="18"/>
                <w:szCs w:val="18"/>
              </w:rPr>
              <w:t>0.171</w:t>
            </w:r>
          </w:p>
        </w:tc>
        <w:tc>
          <w:tcPr>
            <w:tcW w:w="777" w:type="dxa"/>
            <w:vAlign w:val="center"/>
          </w:tcPr>
          <w:p w:rsidR="00186A27" w:rsidRPr="00186A27" w:rsidRDefault="00186A27" w:rsidP="00186A27">
            <w:pPr>
              <w:pStyle w:val="BodyText"/>
              <w:jc w:val="center"/>
              <w:rPr>
                <w:sz w:val="18"/>
                <w:szCs w:val="18"/>
              </w:rPr>
            </w:pPr>
            <w:r w:rsidRPr="00186A27">
              <w:rPr>
                <w:sz w:val="18"/>
                <w:szCs w:val="18"/>
              </w:rPr>
              <w:t>0.196</w:t>
            </w:r>
          </w:p>
        </w:tc>
        <w:tc>
          <w:tcPr>
            <w:tcW w:w="777" w:type="dxa"/>
            <w:vAlign w:val="center"/>
          </w:tcPr>
          <w:p w:rsidR="00186A27" w:rsidRPr="00186A27" w:rsidRDefault="00186A27" w:rsidP="00186A27">
            <w:pPr>
              <w:pStyle w:val="BodyText"/>
              <w:jc w:val="center"/>
              <w:rPr>
                <w:sz w:val="18"/>
                <w:szCs w:val="18"/>
              </w:rPr>
            </w:pPr>
            <w:r w:rsidRPr="00186A27">
              <w:rPr>
                <w:sz w:val="18"/>
                <w:szCs w:val="18"/>
              </w:rPr>
              <w:t>0.250</w:t>
            </w:r>
          </w:p>
        </w:tc>
        <w:tc>
          <w:tcPr>
            <w:tcW w:w="777" w:type="dxa"/>
            <w:vAlign w:val="center"/>
          </w:tcPr>
          <w:p w:rsidR="00186A27" w:rsidRPr="00186A27" w:rsidRDefault="00186A27" w:rsidP="00186A27">
            <w:pPr>
              <w:pStyle w:val="BodyText"/>
              <w:jc w:val="center"/>
              <w:rPr>
                <w:sz w:val="18"/>
                <w:szCs w:val="18"/>
              </w:rPr>
            </w:pPr>
            <w:r w:rsidRPr="00186A27">
              <w:rPr>
                <w:sz w:val="18"/>
                <w:szCs w:val="18"/>
              </w:rPr>
              <w:t>0.225</w:t>
            </w:r>
          </w:p>
        </w:tc>
        <w:tc>
          <w:tcPr>
            <w:tcW w:w="777" w:type="dxa"/>
            <w:vAlign w:val="center"/>
          </w:tcPr>
          <w:p w:rsidR="00186A27" w:rsidRPr="00186A27" w:rsidRDefault="00186A27" w:rsidP="00186A27">
            <w:pPr>
              <w:pStyle w:val="BodyText"/>
              <w:jc w:val="center"/>
              <w:rPr>
                <w:sz w:val="18"/>
                <w:szCs w:val="18"/>
              </w:rPr>
            </w:pPr>
            <w:r w:rsidRPr="00186A27">
              <w:rPr>
                <w:sz w:val="18"/>
                <w:szCs w:val="18"/>
              </w:rPr>
              <w:t>0.184</w:t>
            </w:r>
          </w:p>
        </w:tc>
        <w:tc>
          <w:tcPr>
            <w:tcW w:w="777" w:type="dxa"/>
            <w:vAlign w:val="center"/>
          </w:tcPr>
          <w:p w:rsidR="00186A27" w:rsidRPr="00186A27" w:rsidRDefault="00186A27" w:rsidP="00186A27">
            <w:pPr>
              <w:pStyle w:val="BodyText"/>
              <w:jc w:val="center"/>
              <w:rPr>
                <w:sz w:val="18"/>
                <w:szCs w:val="18"/>
              </w:rPr>
            </w:pPr>
            <w:r w:rsidRPr="00186A27">
              <w:rPr>
                <w:sz w:val="18"/>
                <w:szCs w:val="18"/>
              </w:rPr>
              <w:t>0.137</w:t>
            </w:r>
          </w:p>
        </w:tc>
        <w:tc>
          <w:tcPr>
            <w:tcW w:w="777" w:type="dxa"/>
            <w:vAlign w:val="center"/>
          </w:tcPr>
          <w:p w:rsidR="00186A27" w:rsidRPr="00186A27" w:rsidRDefault="00186A27" w:rsidP="00186A27">
            <w:pPr>
              <w:pStyle w:val="BodyText"/>
              <w:jc w:val="center"/>
              <w:rPr>
                <w:sz w:val="18"/>
                <w:szCs w:val="18"/>
              </w:rPr>
            </w:pPr>
            <w:r w:rsidRPr="00186A27">
              <w:rPr>
                <w:sz w:val="18"/>
                <w:szCs w:val="18"/>
              </w:rPr>
              <w:t>0.038</w:t>
            </w:r>
          </w:p>
        </w:tc>
      </w:tr>
      <w:tr w:rsidR="00186A27" w:rsidRPr="00186A27" w:rsidTr="00186A27">
        <w:trPr>
          <w:jc w:val="center"/>
        </w:trPr>
        <w:tc>
          <w:tcPr>
            <w:tcW w:w="1908" w:type="dxa"/>
            <w:vAlign w:val="center"/>
          </w:tcPr>
          <w:p w:rsidR="00186A27" w:rsidRPr="00186A27" w:rsidRDefault="00186A27" w:rsidP="00D77043">
            <w:pPr>
              <w:pStyle w:val="BodyText"/>
              <w:rPr>
                <w:szCs w:val="22"/>
              </w:rPr>
            </w:pPr>
            <w:r w:rsidRPr="00186A27">
              <w:rPr>
                <w:szCs w:val="22"/>
              </w:rPr>
              <w:t>White</w:t>
            </w:r>
          </w:p>
        </w:tc>
        <w:tc>
          <w:tcPr>
            <w:tcW w:w="776" w:type="dxa"/>
            <w:vAlign w:val="center"/>
          </w:tcPr>
          <w:p w:rsidR="00186A27" w:rsidRPr="00186A27" w:rsidRDefault="00186A27" w:rsidP="00186A27">
            <w:pPr>
              <w:pStyle w:val="BodyText"/>
              <w:jc w:val="center"/>
              <w:rPr>
                <w:sz w:val="18"/>
                <w:szCs w:val="18"/>
              </w:rPr>
            </w:pPr>
            <w:r w:rsidRPr="00186A27">
              <w:rPr>
                <w:sz w:val="18"/>
                <w:szCs w:val="18"/>
              </w:rPr>
              <w:t>0.350</w:t>
            </w:r>
          </w:p>
        </w:tc>
        <w:tc>
          <w:tcPr>
            <w:tcW w:w="776" w:type="dxa"/>
            <w:vAlign w:val="center"/>
          </w:tcPr>
          <w:p w:rsidR="00186A27" w:rsidRPr="00186A27" w:rsidRDefault="00186A27" w:rsidP="00186A27">
            <w:pPr>
              <w:pStyle w:val="BodyText"/>
              <w:jc w:val="center"/>
              <w:rPr>
                <w:sz w:val="18"/>
                <w:szCs w:val="18"/>
              </w:rPr>
            </w:pPr>
            <w:r w:rsidRPr="00186A27">
              <w:rPr>
                <w:sz w:val="18"/>
                <w:szCs w:val="18"/>
              </w:rPr>
              <w:t>0.360</w:t>
            </w:r>
          </w:p>
        </w:tc>
        <w:tc>
          <w:tcPr>
            <w:tcW w:w="777" w:type="dxa"/>
            <w:vAlign w:val="center"/>
          </w:tcPr>
          <w:p w:rsidR="00186A27" w:rsidRPr="00186A27" w:rsidRDefault="00186A27" w:rsidP="00186A27">
            <w:pPr>
              <w:pStyle w:val="BodyText"/>
              <w:jc w:val="center"/>
              <w:rPr>
                <w:sz w:val="18"/>
                <w:szCs w:val="18"/>
              </w:rPr>
            </w:pPr>
            <w:r w:rsidRPr="00186A27">
              <w:rPr>
                <w:sz w:val="18"/>
                <w:szCs w:val="18"/>
              </w:rPr>
              <w:t>0.300</w:t>
            </w:r>
          </w:p>
        </w:tc>
        <w:tc>
          <w:tcPr>
            <w:tcW w:w="777" w:type="dxa"/>
            <w:vAlign w:val="center"/>
          </w:tcPr>
          <w:p w:rsidR="00186A27" w:rsidRPr="00186A27" w:rsidRDefault="00186A27" w:rsidP="00186A27">
            <w:pPr>
              <w:pStyle w:val="BodyText"/>
              <w:jc w:val="center"/>
              <w:rPr>
                <w:sz w:val="18"/>
                <w:szCs w:val="18"/>
              </w:rPr>
            </w:pPr>
            <w:r w:rsidRPr="00186A27">
              <w:rPr>
                <w:sz w:val="18"/>
                <w:szCs w:val="18"/>
              </w:rPr>
              <w:t>0.310</w:t>
            </w:r>
          </w:p>
        </w:tc>
        <w:tc>
          <w:tcPr>
            <w:tcW w:w="777" w:type="dxa"/>
            <w:vAlign w:val="center"/>
          </w:tcPr>
          <w:p w:rsidR="00186A27" w:rsidRPr="00186A27" w:rsidRDefault="00186A27" w:rsidP="00186A27">
            <w:pPr>
              <w:pStyle w:val="BodyText"/>
              <w:jc w:val="center"/>
              <w:rPr>
                <w:sz w:val="18"/>
                <w:szCs w:val="18"/>
              </w:rPr>
            </w:pPr>
            <w:r w:rsidRPr="00186A27">
              <w:rPr>
                <w:sz w:val="18"/>
                <w:szCs w:val="18"/>
              </w:rPr>
              <w:t>0.290</w:t>
            </w:r>
          </w:p>
        </w:tc>
        <w:tc>
          <w:tcPr>
            <w:tcW w:w="777" w:type="dxa"/>
            <w:vAlign w:val="center"/>
          </w:tcPr>
          <w:p w:rsidR="00186A27" w:rsidRPr="00186A27" w:rsidRDefault="00186A27" w:rsidP="00186A27">
            <w:pPr>
              <w:pStyle w:val="BodyText"/>
              <w:jc w:val="center"/>
              <w:rPr>
                <w:sz w:val="18"/>
                <w:szCs w:val="18"/>
              </w:rPr>
            </w:pPr>
            <w:r w:rsidRPr="00186A27">
              <w:rPr>
                <w:sz w:val="18"/>
                <w:szCs w:val="18"/>
              </w:rPr>
              <w:t>0.320</w:t>
            </w:r>
          </w:p>
        </w:tc>
        <w:tc>
          <w:tcPr>
            <w:tcW w:w="777" w:type="dxa"/>
            <w:vAlign w:val="center"/>
          </w:tcPr>
          <w:p w:rsidR="00186A27" w:rsidRPr="00186A27" w:rsidRDefault="00186A27" w:rsidP="00186A27">
            <w:pPr>
              <w:pStyle w:val="BodyText"/>
              <w:jc w:val="center"/>
              <w:rPr>
                <w:sz w:val="18"/>
                <w:szCs w:val="18"/>
              </w:rPr>
            </w:pPr>
            <w:r w:rsidRPr="00186A27">
              <w:rPr>
                <w:sz w:val="18"/>
                <w:szCs w:val="18"/>
              </w:rPr>
              <w:t>0.340</w:t>
            </w:r>
          </w:p>
        </w:tc>
        <w:tc>
          <w:tcPr>
            <w:tcW w:w="777" w:type="dxa"/>
            <w:vAlign w:val="center"/>
          </w:tcPr>
          <w:p w:rsidR="00186A27" w:rsidRPr="00186A27" w:rsidRDefault="00186A27" w:rsidP="00186A27">
            <w:pPr>
              <w:pStyle w:val="BodyText"/>
              <w:jc w:val="center"/>
              <w:rPr>
                <w:sz w:val="18"/>
                <w:szCs w:val="18"/>
              </w:rPr>
            </w:pPr>
            <w:r w:rsidRPr="00186A27">
              <w:rPr>
                <w:sz w:val="18"/>
                <w:szCs w:val="18"/>
              </w:rPr>
              <w:t>0.370</w:t>
            </w:r>
          </w:p>
        </w:tc>
      </w:tr>
      <w:tr w:rsidR="00186A27" w:rsidRPr="00186A27" w:rsidTr="00186A27">
        <w:trPr>
          <w:jc w:val="center"/>
        </w:trPr>
        <w:tc>
          <w:tcPr>
            <w:tcW w:w="1908" w:type="dxa"/>
            <w:vAlign w:val="center"/>
          </w:tcPr>
          <w:p w:rsidR="00186A27" w:rsidRPr="00186A27" w:rsidRDefault="00186A27" w:rsidP="00D77043">
            <w:pPr>
              <w:pStyle w:val="BodyText"/>
              <w:rPr>
                <w:szCs w:val="22"/>
              </w:rPr>
            </w:pPr>
            <w:r w:rsidRPr="00186A27">
              <w:rPr>
                <w:szCs w:val="22"/>
              </w:rPr>
              <w:t>Black</w:t>
            </w:r>
          </w:p>
        </w:tc>
        <w:tc>
          <w:tcPr>
            <w:tcW w:w="776" w:type="dxa"/>
            <w:vAlign w:val="center"/>
          </w:tcPr>
          <w:p w:rsidR="00186A27" w:rsidRPr="00186A27" w:rsidRDefault="00186A27" w:rsidP="00186A27">
            <w:pPr>
              <w:pStyle w:val="BodyText"/>
              <w:jc w:val="center"/>
              <w:rPr>
                <w:sz w:val="18"/>
                <w:szCs w:val="18"/>
              </w:rPr>
            </w:pPr>
            <w:r w:rsidRPr="00186A27">
              <w:rPr>
                <w:sz w:val="18"/>
                <w:szCs w:val="18"/>
              </w:rPr>
              <w:t>0.385</w:t>
            </w:r>
          </w:p>
        </w:tc>
        <w:tc>
          <w:tcPr>
            <w:tcW w:w="776" w:type="dxa"/>
            <w:vAlign w:val="center"/>
          </w:tcPr>
          <w:p w:rsidR="00186A27" w:rsidRPr="00186A27" w:rsidRDefault="00186A27" w:rsidP="00186A27">
            <w:pPr>
              <w:pStyle w:val="BodyText"/>
              <w:jc w:val="center"/>
              <w:rPr>
                <w:sz w:val="18"/>
                <w:szCs w:val="18"/>
              </w:rPr>
            </w:pPr>
            <w:r w:rsidRPr="00186A27">
              <w:rPr>
                <w:sz w:val="18"/>
                <w:szCs w:val="18"/>
              </w:rPr>
              <w:t>0.355</w:t>
            </w:r>
          </w:p>
        </w:tc>
        <w:tc>
          <w:tcPr>
            <w:tcW w:w="777" w:type="dxa"/>
            <w:vAlign w:val="center"/>
          </w:tcPr>
          <w:p w:rsidR="00186A27" w:rsidRPr="00186A27" w:rsidRDefault="00186A27" w:rsidP="00186A27">
            <w:pPr>
              <w:pStyle w:val="BodyText"/>
              <w:jc w:val="center"/>
              <w:rPr>
                <w:sz w:val="18"/>
                <w:szCs w:val="18"/>
              </w:rPr>
            </w:pPr>
            <w:r w:rsidRPr="00186A27">
              <w:rPr>
                <w:sz w:val="18"/>
                <w:szCs w:val="18"/>
              </w:rPr>
              <w:t>0.300</w:t>
            </w:r>
          </w:p>
        </w:tc>
        <w:tc>
          <w:tcPr>
            <w:tcW w:w="777" w:type="dxa"/>
            <w:vAlign w:val="center"/>
          </w:tcPr>
          <w:p w:rsidR="00186A27" w:rsidRPr="00186A27" w:rsidRDefault="00186A27" w:rsidP="00186A27">
            <w:pPr>
              <w:pStyle w:val="BodyText"/>
              <w:jc w:val="center"/>
              <w:rPr>
                <w:sz w:val="18"/>
                <w:szCs w:val="18"/>
              </w:rPr>
            </w:pPr>
            <w:r w:rsidRPr="00186A27">
              <w:rPr>
                <w:sz w:val="18"/>
                <w:szCs w:val="18"/>
              </w:rPr>
              <w:t>0.270</w:t>
            </w:r>
          </w:p>
        </w:tc>
        <w:tc>
          <w:tcPr>
            <w:tcW w:w="777" w:type="dxa"/>
            <w:vAlign w:val="center"/>
          </w:tcPr>
          <w:p w:rsidR="00186A27" w:rsidRPr="00186A27" w:rsidRDefault="00186A27" w:rsidP="00186A27">
            <w:pPr>
              <w:pStyle w:val="BodyText"/>
              <w:jc w:val="center"/>
              <w:rPr>
                <w:sz w:val="18"/>
                <w:szCs w:val="18"/>
              </w:rPr>
            </w:pPr>
            <w:r w:rsidRPr="00186A27">
              <w:rPr>
                <w:sz w:val="18"/>
                <w:szCs w:val="18"/>
              </w:rPr>
              <w:t>0.260</w:t>
            </w:r>
          </w:p>
        </w:tc>
        <w:tc>
          <w:tcPr>
            <w:tcW w:w="777" w:type="dxa"/>
            <w:vAlign w:val="center"/>
          </w:tcPr>
          <w:p w:rsidR="00186A27" w:rsidRPr="00186A27" w:rsidRDefault="00186A27" w:rsidP="00186A27">
            <w:pPr>
              <w:pStyle w:val="BodyText"/>
              <w:jc w:val="center"/>
              <w:rPr>
                <w:sz w:val="18"/>
                <w:szCs w:val="18"/>
              </w:rPr>
            </w:pPr>
            <w:r w:rsidRPr="00186A27">
              <w:rPr>
                <w:sz w:val="18"/>
                <w:szCs w:val="18"/>
              </w:rPr>
              <w:t>0.310</w:t>
            </w:r>
          </w:p>
        </w:tc>
        <w:tc>
          <w:tcPr>
            <w:tcW w:w="777" w:type="dxa"/>
            <w:vAlign w:val="center"/>
          </w:tcPr>
          <w:p w:rsidR="00186A27" w:rsidRPr="00186A27" w:rsidRDefault="00186A27" w:rsidP="00186A27">
            <w:pPr>
              <w:pStyle w:val="BodyText"/>
              <w:jc w:val="center"/>
              <w:rPr>
                <w:sz w:val="18"/>
                <w:szCs w:val="18"/>
              </w:rPr>
            </w:pPr>
            <w:r w:rsidRPr="00186A27">
              <w:rPr>
                <w:sz w:val="18"/>
                <w:szCs w:val="18"/>
              </w:rPr>
              <w:t>0.345</w:t>
            </w:r>
          </w:p>
        </w:tc>
        <w:tc>
          <w:tcPr>
            <w:tcW w:w="777" w:type="dxa"/>
            <w:vAlign w:val="center"/>
          </w:tcPr>
          <w:p w:rsidR="00186A27" w:rsidRPr="00186A27" w:rsidRDefault="00186A27" w:rsidP="00186A27">
            <w:pPr>
              <w:pStyle w:val="BodyText"/>
              <w:jc w:val="center"/>
              <w:rPr>
                <w:sz w:val="18"/>
                <w:szCs w:val="18"/>
              </w:rPr>
            </w:pPr>
            <w:r w:rsidRPr="00186A27">
              <w:rPr>
                <w:sz w:val="18"/>
                <w:szCs w:val="18"/>
              </w:rPr>
              <w:t>0.395</w:t>
            </w:r>
          </w:p>
        </w:tc>
      </w:tr>
    </w:tbl>
    <w:p w:rsidR="00186A27" w:rsidRDefault="00186A27" w:rsidP="00186A27">
      <w:pPr>
        <w:pStyle w:val="BodyText"/>
      </w:pPr>
      <w:r w:rsidRPr="00444739">
        <w:lastRenderedPageBreak/>
        <w:t>Recommended limits of fluorescent colours in terms of CIE Recommendations No. 39-2, 1983 for surface colours for visual signalling, including IALA preferred Regions where applicable.</w:t>
      </w:r>
    </w:p>
    <w:p w:rsidR="00186A27" w:rsidRPr="00186A27" w:rsidRDefault="00186A27" w:rsidP="00186A27">
      <w:pPr>
        <w:pStyle w:val="Table"/>
      </w:pPr>
      <w:bookmarkStart w:id="35" w:name="_Toc240354424"/>
      <w:r w:rsidRPr="00186A27">
        <w:t>Specification of Fluorescent Colours</w:t>
      </w:r>
      <w:bookmarkEnd w:id="3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1628"/>
        <w:gridCol w:w="1701"/>
        <w:gridCol w:w="1689"/>
      </w:tblGrid>
      <w:tr w:rsidR="00186A27" w:rsidRPr="00186A27" w:rsidTr="00186A27">
        <w:trPr>
          <w:trHeight w:val="1010"/>
          <w:jc w:val="center"/>
        </w:trPr>
        <w:tc>
          <w:tcPr>
            <w:tcW w:w="1008" w:type="dxa"/>
          </w:tcPr>
          <w:p w:rsidR="00186A27" w:rsidRPr="00186A27" w:rsidRDefault="00186A27" w:rsidP="00186A27">
            <w:pPr>
              <w:pStyle w:val="BodyText"/>
              <w:jc w:val="center"/>
              <w:rPr>
                <w:szCs w:val="22"/>
              </w:rPr>
            </w:pPr>
            <w:r w:rsidRPr="00186A27">
              <w:rPr>
                <w:szCs w:val="22"/>
              </w:rPr>
              <w:t>Colour</w:t>
            </w:r>
          </w:p>
        </w:tc>
        <w:tc>
          <w:tcPr>
            <w:tcW w:w="1628" w:type="dxa"/>
          </w:tcPr>
          <w:p w:rsidR="00186A27" w:rsidRPr="00186A27" w:rsidRDefault="00186A27" w:rsidP="00186A27">
            <w:pPr>
              <w:pStyle w:val="BodyText"/>
              <w:jc w:val="center"/>
              <w:rPr>
                <w:szCs w:val="22"/>
              </w:rPr>
            </w:pPr>
            <w:r w:rsidRPr="00186A27">
              <w:rPr>
                <w:szCs w:val="22"/>
              </w:rPr>
              <w:t>Boundary</w:t>
            </w:r>
          </w:p>
        </w:tc>
        <w:tc>
          <w:tcPr>
            <w:tcW w:w="1701" w:type="dxa"/>
          </w:tcPr>
          <w:p w:rsidR="00186A27" w:rsidRPr="00186A27" w:rsidRDefault="00186A27" w:rsidP="00186A27">
            <w:pPr>
              <w:pStyle w:val="BodyText"/>
              <w:jc w:val="center"/>
              <w:rPr>
                <w:szCs w:val="22"/>
              </w:rPr>
            </w:pPr>
            <w:r w:rsidRPr="00186A27">
              <w:rPr>
                <w:szCs w:val="22"/>
              </w:rPr>
              <w:t>Equation of the boundary limits</w:t>
            </w:r>
          </w:p>
        </w:tc>
        <w:tc>
          <w:tcPr>
            <w:tcW w:w="1689" w:type="dxa"/>
          </w:tcPr>
          <w:p w:rsidR="00186A27" w:rsidRPr="00186A27" w:rsidRDefault="00186A27" w:rsidP="00186A27">
            <w:pPr>
              <w:pStyle w:val="BodyText"/>
              <w:jc w:val="center"/>
              <w:rPr>
                <w:szCs w:val="22"/>
              </w:rPr>
            </w:pPr>
            <w:r w:rsidRPr="00186A27">
              <w:rPr>
                <w:szCs w:val="22"/>
              </w:rPr>
              <w:t>Minimum Luminance factor</w:t>
            </w:r>
          </w:p>
        </w:tc>
      </w:tr>
      <w:tr w:rsidR="00186A27" w:rsidRPr="00186A27" w:rsidTr="00186A27">
        <w:trPr>
          <w:jc w:val="center"/>
        </w:trPr>
        <w:tc>
          <w:tcPr>
            <w:tcW w:w="1008" w:type="dxa"/>
            <w:vAlign w:val="center"/>
          </w:tcPr>
          <w:p w:rsidR="00186A27" w:rsidRPr="00186A27" w:rsidRDefault="00186A27" w:rsidP="00186A27">
            <w:pPr>
              <w:pStyle w:val="BodyText"/>
              <w:jc w:val="center"/>
              <w:rPr>
                <w:szCs w:val="22"/>
              </w:rPr>
            </w:pPr>
            <w:r w:rsidRPr="00186A27">
              <w:rPr>
                <w:szCs w:val="22"/>
              </w:rPr>
              <w:t>Red</w:t>
            </w:r>
          </w:p>
        </w:tc>
        <w:tc>
          <w:tcPr>
            <w:tcW w:w="1628" w:type="dxa"/>
          </w:tcPr>
          <w:p w:rsidR="00186A27" w:rsidRPr="00186A27" w:rsidRDefault="00186A27" w:rsidP="00186A27">
            <w:pPr>
              <w:pStyle w:val="BodyText"/>
              <w:jc w:val="center"/>
              <w:rPr>
                <w:sz w:val="18"/>
                <w:szCs w:val="18"/>
              </w:rPr>
            </w:pPr>
            <w:r w:rsidRPr="00186A27">
              <w:rPr>
                <w:sz w:val="18"/>
                <w:szCs w:val="18"/>
              </w:rPr>
              <w:t>Purple</w:t>
            </w:r>
            <w:r w:rsidRPr="00186A27">
              <w:rPr>
                <w:sz w:val="18"/>
                <w:szCs w:val="18"/>
              </w:rPr>
              <w:br/>
              <w:t>White</w:t>
            </w:r>
            <w:r w:rsidRPr="00186A27">
              <w:rPr>
                <w:sz w:val="18"/>
                <w:szCs w:val="18"/>
              </w:rPr>
              <w:br/>
              <w:t>Orange</w:t>
            </w:r>
          </w:p>
        </w:tc>
        <w:tc>
          <w:tcPr>
            <w:tcW w:w="1701" w:type="dxa"/>
          </w:tcPr>
          <w:p w:rsidR="00186A27" w:rsidRPr="00186A27" w:rsidRDefault="00186A27" w:rsidP="00186A27">
            <w:pPr>
              <w:autoSpaceDE w:val="0"/>
              <w:autoSpaceDN w:val="0"/>
              <w:adjustRightInd w:val="0"/>
              <w:rPr>
                <w:i/>
                <w:iCs/>
                <w:sz w:val="18"/>
                <w:szCs w:val="18"/>
                <w:lang w:val="de-DE" w:eastAsia="de-DE"/>
              </w:rPr>
            </w:pPr>
            <w:r w:rsidRPr="00186A27">
              <w:rPr>
                <w:i/>
                <w:iCs/>
                <w:sz w:val="18"/>
                <w:szCs w:val="18"/>
                <w:lang w:val="de-DE" w:eastAsia="de-DE"/>
              </w:rPr>
              <w:t xml:space="preserve">y </w:t>
            </w:r>
            <w:r w:rsidRPr="00186A27">
              <w:rPr>
                <w:sz w:val="18"/>
                <w:szCs w:val="18"/>
                <w:lang w:val="de-DE" w:eastAsia="de-DE"/>
              </w:rPr>
              <w:t xml:space="preserve">= 0.345 – 0.051 </w:t>
            </w:r>
            <w:r w:rsidRPr="00186A27">
              <w:rPr>
                <w:i/>
                <w:iCs/>
                <w:sz w:val="18"/>
                <w:szCs w:val="18"/>
                <w:lang w:val="de-DE" w:eastAsia="de-DE"/>
              </w:rPr>
              <w:t>x</w:t>
            </w:r>
          </w:p>
          <w:p w:rsidR="00186A27" w:rsidRPr="00186A27" w:rsidRDefault="00186A27" w:rsidP="00186A27">
            <w:pPr>
              <w:autoSpaceDE w:val="0"/>
              <w:autoSpaceDN w:val="0"/>
              <w:adjustRightInd w:val="0"/>
              <w:rPr>
                <w:i/>
                <w:iCs/>
                <w:sz w:val="18"/>
                <w:szCs w:val="18"/>
                <w:lang w:val="de-DE" w:eastAsia="de-DE"/>
              </w:rPr>
            </w:pPr>
            <w:r w:rsidRPr="00186A27">
              <w:rPr>
                <w:i/>
                <w:iCs/>
                <w:sz w:val="18"/>
                <w:szCs w:val="18"/>
                <w:lang w:val="de-DE" w:eastAsia="de-DE"/>
              </w:rPr>
              <w:t xml:space="preserve">y </w:t>
            </w:r>
            <w:r w:rsidRPr="00186A27">
              <w:rPr>
                <w:sz w:val="18"/>
                <w:szCs w:val="18"/>
                <w:lang w:val="de-DE" w:eastAsia="de-DE"/>
              </w:rPr>
              <w:t xml:space="preserve">= 0.910 – </w:t>
            </w:r>
            <w:r w:rsidRPr="00186A27">
              <w:rPr>
                <w:i/>
                <w:iCs/>
                <w:sz w:val="18"/>
                <w:szCs w:val="18"/>
                <w:lang w:val="de-DE" w:eastAsia="de-DE"/>
              </w:rPr>
              <w:t>x</w:t>
            </w:r>
          </w:p>
          <w:p w:rsidR="00186A27" w:rsidRPr="00186A27" w:rsidRDefault="00186A27" w:rsidP="00186A27">
            <w:pPr>
              <w:autoSpaceDE w:val="0"/>
              <w:autoSpaceDN w:val="0"/>
              <w:adjustRightInd w:val="0"/>
              <w:rPr>
                <w:rFonts w:ascii="TimesNewRoman,Italic" w:hAnsi="TimesNewRoman,Italic" w:cs="TimesNewRoman,Italic"/>
                <w:sz w:val="18"/>
                <w:szCs w:val="18"/>
                <w:lang w:val="de-DE" w:eastAsia="de-DE"/>
              </w:rPr>
            </w:pPr>
            <w:r w:rsidRPr="00186A27">
              <w:rPr>
                <w:i/>
                <w:iCs/>
                <w:sz w:val="18"/>
                <w:szCs w:val="18"/>
                <w:lang w:val="de-DE" w:eastAsia="de-DE"/>
              </w:rPr>
              <w:t xml:space="preserve">y </w:t>
            </w:r>
            <w:r w:rsidRPr="00186A27">
              <w:rPr>
                <w:sz w:val="18"/>
                <w:szCs w:val="18"/>
                <w:lang w:val="de-DE" w:eastAsia="de-DE"/>
              </w:rPr>
              <w:t xml:space="preserve">= 0.314 + 0.047 </w:t>
            </w:r>
            <w:r w:rsidRPr="00186A27">
              <w:rPr>
                <w:i/>
                <w:iCs/>
                <w:sz w:val="18"/>
                <w:szCs w:val="18"/>
                <w:lang w:val="de-DE" w:eastAsia="de-DE"/>
              </w:rPr>
              <w:t>x</w:t>
            </w:r>
          </w:p>
        </w:tc>
        <w:tc>
          <w:tcPr>
            <w:tcW w:w="1689" w:type="dxa"/>
            <w:vAlign w:val="center"/>
          </w:tcPr>
          <w:p w:rsidR="00186A27" w:rsidRPr="00186A27" w:rsidRDefault="00186A27" w:rsidP="00186A27">
            <w:pPr>
              <w:pStyle w:val="BodyText"/>
              <w:jc w:val="center"/>
              <w:rPr>
                <w:sz w:val="20"/>
                <w:szCs w:val="20"/>
              </w:rPr>
            </w:pPr>
            <w:r w:rsidRPr="00186A27">
              <w:rPr>
                <w:sz w:val="20"/>
                <w:szCs w:val="20"/>
              </w:rPr>
              <w:t>0.25</w:t>
            </w:r>
          </w:p>
        </w:tc>
      </w:tr>
      <w:tr w:rsidR="00186A27" w:rsidRPr="00186A27" w:rsidTr="00186A27">
        <w:trPr>
          <w:jc w:val="center"/>
        </w:trPr>
        <w:tc>
          <w:tcPr>
            <w:tcW w:w="1008" w:type="dxa"/>
            <w:vAlign w:val="center"/>
          </w:tcPr>
          <w:p w:rsidR="00186A27" w:rsidRPr="00186A27" w:rsidRDefault="00186A27" w:rsidP="00186A27">
            <w:pPr>
              <w:pStyle w:val="BodyText"/>
              <w:jc w:val="center"/>
              <w:rPr>
                <w:szCs w:val="22"/>
              </w:rPr>
            </w:pPr>
            <w:r w:rsidRPr="00186A27">
              <w:rPr>
                <w:szCs w:val="22"/>
              </w:rPr>
              <w:t>Orange</w:t>
            </w:r>
          </w:p>
        </w:tc>
        <w:tc>
          <w:tcPr>
            <w:tcW w:w="1628" w:type="dxa"/>
          </w:tcPr>
          <w:p w:rsidR="00186A27" w:rsidRPr="00186A27" w:rsidRDefault="00186A27" w:rsidP="00186A27">
            <w:pPr>
              <w:pStyle w:val="BodyText"/>
              <w:jc w:val="center"/>
              <w:rPr>
                <w:sz w:val="18"/>
                <w:szCs w:val="18"/>
              </w:rPr>
            </w:pPr>
            <w:r w:rsidRPr="00186A27">
              <w:rPr>
                <w:sz w:val="18"/>
                <w:szCs w:val="18"/>
              </w:rPr>
              <w:t>Red</w:t>
            </w:r>
            <w:r w:rsidRPr="00186A27">
              <w:rPr>
                <w:sz w:val="18"/>
                <w:szCs w:val="18"/>
              </w:rPr>
              <w:br/>
              <w:t>White</w:t>
            </w:r>
            <w:r w:rsidRPr="00186A27">
              <w:rPr>
                <w:sz w:val="18"/>
                <w:szCs w:val="18"/>
              </w:rPr>
              <w:br/>
              <w:t>Yellow</w:t>
            </w:r>
          </w:p>
        </w:tc>
        <w:tc>
          <w:tcPr>
            <w:tcW w:w="1701" w:type="dxa"/>
          </w:tcPr>
          <w:p w:rsidR="00186A27" w:rsidRPr="00186A27" w:rsidRDefault="00186A27" w:rsidP="00186A27">
            <w:pPr>
              <w:pStyle w:val="BodyText"/>
              <w:jc w:val="left"/>
              <w:rPr>
                <w:sz w:val="18"/>
                <w:szCs w:val="18"/>
              </w:rPr>
            </w:pPr>
            <w:r w:rsidRPr="00186A27">
              <w:rPr>
                <w:sz w:val="18"/>
                <w:szCs w:val="18"/>
              </w:rPr>
              <w:t>y = 0.265 + 0.205 x</w:t>
            </w:r>
            <w:r w:rsidRPr="00186A27">
              <w:rPr>
                <w:sz w:val="18"/>
                <w:szCs w:val="18"/>
              </w:rPr>
              <w:br/>
              <w:t>y = 0.910 – x</w:t>
            </w:r>
            <w:r w:rsidRPr="00186A27">
              <w:rPr>
                <w:sz w:val="18"/>
                <w:szCs w:val="18"/>
              </w:rPr>
              <w:br/>
              <w:t>y = 0.207 + 0.390 x</w:t>
            </w:r>
          </w:p>
        </w:tc>
        <w:tc>
          <w:tcPr>
            <w:tcW w:w="1689" w:type="dxa"/>
            <w:vAlign w:val="center"/>
          </w:tcPr>
          <w:p w:rsidR="00186A27" w:rsidRPr="00186A27" w:rsidRDefault="00186A27" w:rsidP="00186A27">
            <w:pPr>
              <w:pStyle w:val="BodyText"/>
              <w:jc w:val="center"/>
              <w:rPr>
                <w:sz w:val="20"/>
                <w:szCs w:val="20"/>
              </w:rPr>
            </w:pPr>
            <w:r w:rsidRPr="00186A27">
              <w:rPr>
                <w:sz w:val="20"/>
                <w:szCs w:val="20"/>
              </w:rPr>
              <w:t>0.40</w:t>
            </w:r>
          </w:p>
        </w:tc>
      </w:tr>
      <w:tr w:rsidR="00186A27" w:rsidRPr="00186A27" w:rsidTr="00186A27">
        <w:trPr>
          <w:jc w:val="center"/>
        </w:trPr>
        <w:tc>
          <w:tcPr>
            <w:tcW w:w="1008" w:type="dxa"/>
            <w:vAlign w:val="center"/>
          </w:tcPr>
          <w:p w:rsidR="00186A27" w:rsidRPr="00186A27" w:rsidRDefault="00186A27" w:rsidP="00186A27">
            <w:pPr>
              <w:pStyle w:val="BodyText"/>
              <w:jc w:val="center"/>
              <w:rPr>
                <w:szCs w:val="22"/>
              </w:rPr>
            </w:pPr>
            <w:r w:rsidRPr="00186A27">
              <w:rPr>
                <w:szCs w:val="22"/>
              </w:rPr>
              <w:t>Yellow</w:t>
            </w:r>
          </w:p>
        </w:tc>
        <w:tc>
          <w:tcPr>
            <w:tcW w:w="1628" w:type="dxa"/>
          </w:tcPr>
          <w:p w:rsidR="00186A27" w:rsidRPr="00186A27" w:rsidRDefault="00186A27" w:rsidP="00186A27">
            <w:pPr>
              <w:pStyle w:val="BodyText"/>
              <w:jc w:val="center"/>
              <w:rPr>
                <w:sz w:val="18"/>
                <w:szCs w:val="18"/>
              </w:rPr>
            </w:pPr>
            <w:r w:rsidRPr="00186A27">
              <w:rPr>
                <w:sz w:val="18"/>
                <w:szCs w:val="18"/>
              </w:rPr>
              <w:t>Orange</w:t>
            </w:r>
            <w:r w:rsidRPr="00186A27">
              <w:rPr>
                <w:sz w:val="18"/>
                <w:szCs w:val="18"/>
              </w:rPr>
              <w:br/>
              <w:t>White</w:t>
            </w:r>
            <w:r w:rsidRPr="00186A27">
              <w:rPr>
                <w:sz w:val="18"/>
                <w:szCs w:val="18"/>
              </w:rPr>
              <w:br/>
              <w:t>Green</w:t>
            </w:r>
          </w:p>
        </w:tc>
        <w:tc>
          <w:tcPr>
            <w:tcW w:w="1701" w:type="dxa"/>
          </w:tcPr>
          <w:p w:rsidR="00186A27" w:rsidRPr="00186A27" w:rsidRDefault="00186A27" w:rsidP="00186A27">
            <w:pPr>
              <w:autoSpaceDE w:val="0"/>
              <w:autoSpaceDN w:val="0"/>
              <w:adjustRightInd w:val="0"/>
              <w:rPr>
                <w:i/>
                <w:iCs/>
                <w:sz w:val="18"/>
                <w:szCs w:val="18"/>
                <w:lang w:eastAsia="de-DE"/>
              </w:rPr>
            </w:pPr>
            <w:r w:rsidRPr="00186A27">
              <w:rPr>
                <w:i/>
                <w:iCs/>
                <w:sz w:val="18"/>
                <w:szCs w:val="18"/>
                <w:lang w:eastAsia="de-DE"/>
              </w:rPr>
              <w:t xml:space="preserve">y </w:t>
            </w:r>
            <w:r w:rsidRPr="00186A27">
              <w:rPr>
                <w:sz w:val="18"/>
                <w:szCs w:val="18"/>
                <w:lang w:eastAsia="de-DE"/>
              </w:rPr>
              <w:t xml:space="preserve">= 0.108 + 0.707 </w:t>
            </w:r>
            <w:r w:rsidRPr="00186A27">
              <w:rPr>
                <w:i/>
                <w:iCs/>
                <w:sz w:val="18"/>
                <w:szCs w:val="18"/>
                <w:lang w:eastAsia="de-DE"/>
              </w:rPr>
              <w:t>x</w:t>
            </w:r>
          </w:p>
          <w:p w:rsidR="00186A27" w:rsidRPr="00186A27" w:rsidRDefault="00186A27" w:rsidP="00186A27">
            <w:pPr>
              <w:autoSpaceDE w:val="0"/>
              <w:autoSpaceDN w:val="0"/>
              <w:adjustRightInd w:val="0"/>
              <w:rPr>
                <w:i/>
                <w:iCs/>
                <w:sz w:val="18"/>
                <w:szCs w:val="18"/>
                <w:lang w:eastAsia="de-DE"/>
              </w:rPr>
            </w:pPr>
            <w:r w:rsidRPr="00186A27">
              <w:rPr>
                <w:i/>
                <w:iCs/>
                <w:sz w:val="18"/>
                <w:szCs w:val="18"/>
                <w:lang w:eastAsia="de-DE"/>
              </w:rPr>
              <w:t xml:space="preserve">y </w:t>
            </w:r>
            <w:r w:rsidRPr="00186A27">
              <w:rPr>
                <w:sz w:val="18"/>
                <w:szCs w:val="18"/>
                <w:lang w:eastAsia="de-DE"/>
              </w:rPr>
              <w:t xml:space="preserve">= 0.910 – </w:t>
            </w:r>
            <w:r w:rsidRPr="00186A27">
              <w:rPr>
                <w:i/>
                <w:iCs/>
                <w:sz w:val="18"/>
                <w:szCs w:val="18"/>
                <w:lang w:eastAsia="de-DE"/>
              </w:rPr>
              <w:t>x</w:t>
            </w:r>
          </w:p>
          <w:p w:rsidR="00186A27" w:rsidRPr="00186A27" w:rsidRDefault="00186A27" w:rsidP="00186A27">
            <w:pPr>
              <w:autoSpaceDE w:val="0"/>
              <w:autoSpaceDN w:val="0"/>
              <w:adjustRightInd w:val="0"/>
              <w:rPr>
                <w:sz w:val="18"/>
                <w:szCs w:val="18"/>
                <w:lang w:eastAsia="de-DE"/>
              </w:rPr>
            </w:pPr>
            <w:r w:rsidRPr="00186A27">
              <w:rPr>
                <w:i/>
                <w:iCs/>
                <w:sz w:val="18"/>
                <w:szCs w:val="18"/>
                <w:lang w:eastAsia="de-DE"/>
              </w:rPr>
              <w:t xml:space="preserve">y </w:t>
            </w:r>
            <w:r w:rsidRPr="00186A27">
              <w:rPr>
                <w:sz w:val="18"/>
                <w:szCs w:val="18"/>
                <w:lang w:eastAsia="de-DE"/>
              </w:rPr>
              <w:t xml:space="preserve">= 1.35 </w:t>
            </w:r>
            <w:r w:rsidRPr="00186A27">
              <w:rPr>
                <w:i/>
                <w:iCs/>
                <w:sz w:val="18"/>
                <w:szCs w:val="18"/>
                <w:lang w:eastAsia="de-DE"/>
              </w:rPr>
              <w:t xml:space="preserve">x </w:t>
            </w:r>
            <w:r w:rsidRPr="00186A27">
              <w:rPr>
                <w:sz w:val="18"/>
                <w:szCs w:val="18"/>
                <w:lang w:eastAsia="de-DE"/>
              </w:rPr>
              <w:t>– 0.093</w:t>
            </w:r>
          </w:p>
        </w:tc>
        <w:tc>
          <w:tcPr>
            <w:tcW w:w="1689" w:type="dxa"/>
            <w:vAlign w:val="center"/>
          </w:tcPr>
          <w:p w:rsidR="00186A27" w:rsidRPr="00186A27" w:rsidRDefault="00186A27" w:rsidP="00186A27">
            <w:pPr>
              <w:pStyle w:val="BodyText"/>
              <w:jc w:val="center"/>
              <w:rPr>
                <w:sz w:val="20"/>
                <w:szCs w:val="20"/>
              </w:rPr>
            </w:pPr>
            <w:r w:rsidRPr="00186A27">
              <w:rPr>
                <w:sz w:val="20"/>
                <w:szCs w:val="20"/>
              </w:rPr>
              <w:t>0.60</w:t>
            </w:r>
          </w:p>
        </w:tc>
      </w:tr>
      <w:tr w:rsidR="00186A27" w:rsidRPr="00186A27" w:rsidTr="00186A27">
        <w:trPr>
          <w:jc w:val="center"/>
        </w:trPr>
        <w:tc>
          <w:tcPr>
            <w:tcW w:w="1008" w:type="dxa"/>
            <w:vAlign w:val="center"/>
          </w:tcPr>
          <w:p w:rsidR="00186A27" w:rsidRPr="00186A27" w:rsidRDefault="00186A27" w:rsidP="00186A27">
            <w:pPr>
              <w:pStyle w:val="BodyText"/>
              <w:jc w:val="center"/>
              <w:rPr>
                <w:szCs w:val="22"/>
              </w:rPr>
            </w:pPr>
            <w:r w:rsidRPr="00186A27">
              <w:rPr>
                <w:szCs w:val="22"/>
              </w:rPr>
              <w:t>Green</w:t>
            </w:r>
          </w:p>
        </w:tc>
        <w:tc>
          <w:tcPr>
            <w:tcW w:w="1628" w:type="dxa"/>
          </w:tcPr>
          <w:p w:rsidR="00186A27" w:rsidRPr="00186A27" w:rsidRDefault="00186A27" w:rsidP="00186A27">
            <w:pPr>
              <w:pStyle w:val="BodyText"/>
              <w:jc w:val="center"/>
              <w:rPr>
                <w:sz w:val="18"/>
                <w:szCs w:val="18"/>
              </w:rPr>
            </w:pPr>
            <w:r w:rsidRPr="00186A27">
              <w:rPr>
                <w:sz w:val="18"/>
                <w:szCs w:val="18"/>
              </w:rPr>
              <w:t>Yellow</w:t>
            </w:r>
            <w:r w:rsidRPr="00186A27">
              <w:rPr>
                <w:sz w:val="18"/>
                <w:szCs w:val="18"/>
              </w:rPr>
              <w:br/>
              <w:t>White</w:t>
            </w:r>
            <w:r w:rsidRPr="00186A27">
              <w:rPr>
                <w:sz w:val="18"/>
                <w:szCs w:val="18"/>
              </w:rPr>
              <w:br/>
              <w:t>Blue (Preferred)</w:t>
            </w:r>
            <w:r w:rsidRPr="00186A27">
              <w:rPr>
                <w:sz w:val="18"/>
                <w:szCs w:val="18"/>
              </w:rPr>
              <w:br/>
              <w:t>Blue (General)</w:t>
            </w:r>
          </w:p>
        </w:tc>
        <w:tc>
          <w:tcPr>
            <w:tcW w:w="1701" w:type="dxa"/>
          </w:tcPr>
          <w:p w:rsidR="00186A27" w:rsidRPr="00186A27" w:rsidRDefault="00186A27" w:rsidP="00186A27">
            <w:pPr>
              <w:autoSpaceDE w:val="0"/>
              <w:autoSpaceDN w:val="0"/>
              <w:adjustRightInd w:val="0"/>
              <w:rPr>
                <w:sz w:val="18"/>
                <w:szCs w:val="18"/>
                <w:lang w:val="de-DE" w:eastAsia="de-DE"/>
              </w:rPr>
            </w:pPr>
            <w:r w:rsidRPr="00186A27">
              <w:rPr>
                <w:i/>
                <w:iCs/>
                <w:sz w:val="18"/>
                <w:szCs w:val="18"/>
                <w:lang w:val="de-DE" w:eastAsia="de-DE"/>
              </w:rPr>
              <w:t xml:space="preserve">y </w:t>
            </w:r>
            <w:r w:rsidRPr="00186A27">
              <w:rPr>
                <w:sz w:val="18"/>
                <w:szCs w:val="18"/>
                <w:lang w:val="de-DE" w:eastAsia="de-DE"/>
              </w:rPr>
              <w:t>= 0.313</w:t>
            </w:r>
          </w:p>
          <w:p w:rsidR="00186A27" w:rsidRPr="00186A27" w:rsidRDefault="00186A27" w:rsidP="00186A27">
            <w:pPr>
              <w:autoSpaceDE w:val="0"/>
              <w:autoSpaceDN w:val="0"/>
              <w:adjustRightInd w:val="0"/>
              <w:rPr>
                <w:i/>
                <w:iCs/>
                <w:sz w:val="18"/>
                <w:szCs w:val="18"/>
                <w:lang w:val="de-DE" w:eastAsia="de-DE"/>
              </w:rPr>
            </w:pPr>
            <w:r w:rsidRPr="00186A27">
              <w:rPr>
                <w:i/>
                <w:iCs/>
                <w:sz w:val="18"/>
                <w:szCs w:val="18"/>
                <w:lang w:val="de-DE" w:eastAsia="de-DE"/>
              </w:rPr>
              <w:t xml:space="preserve">y </w:t>
            </w:r>
            <w:r w:rsidRPr="00186A27">
              <w:rPr>
                <w:sz w:val="18"/>
                <w:szCs w:val="18"/>
                <w:lang w:val="de-DE" w:eastAsia="de-DE"/>
              </w:rPr>
              <w:t xml:space="preserve">= 0.243 + 0.670 </w:t>
            </w:r>
            <w:r w:rsidRPr="00186A27">
              <w:rPr>
                <w:i/>
                <w:iCs/>
                <w:sz w:val="18"/>
                <w:szCs w:val="18"/>
                <w:lang w:val="de-DE" w:eastAsia="de-DE"/>
              </w:rPr>
              <w:t>x</w:t>
            </w:r>
          </w:p>
          <w:p w:rsidR="00186A27" w:rsidRPr="00186A27" w:rsidRDefault="00186A27" w:rsidP="00186A27">
            <w:pPr>
              <w:autoSpaceDE w:val="0"/>
              <w:autoSpaceDN w:val="0"/>
              <w:adjustRightInd w:val="0"/>
              <w:rPr>
                <w:i/>
                <w:iCs/>
                <w:sz w:val="18"/>
                <w:szCs w:val="18"/>
                <w:lang w:val="de-DE" w:eastAsia="de-DE"/>
              </w:rPr>
            </w:pPr>
            <w:r w:rsidRPr="00186A27">
              <w:rPr>
                <w:i/>
                <w:iCs/>
                <w:sz w:val="18"/>
                <w:szCs w:val="18"/>
                <w:lang w:val="de-DE" w:eastAsia="de-DE"/>
              </w:rPr>
              <w:t xml:space="preserve">y </w:t>
            </w:r>
            <w:r w:rsidRPr="00186A27">
              <w:rPr>
                <w:sz w:val="18"/>
                <w:szCs w:val="18"/>
                <w:lang w:val="de-DE" w:eastAsia="de-DE"/>
              </w:rPr>
              <w:t xml:space="preserve">= 0.636 – 0.982 </w:t>
            </w:r>
            <w:r w:rsidRPr="00186A27">
              <w:rPr>
                <w:i/>
                <w:iCs/>
                <w:sz w:val="18"/>
                <w:szCs w:val="18"/>
                <w:lang w:val="de-DE" w:eastAsia="de-DE"/>
              </w:rPr>
              <w:t>x</w:t>
            </w:r>
            <w:r w:rsidRPr="00186A27">
              <w:rPr>
                <w:i/>
                <w:iCs/>
                <w:sz w:val="18"/>
                <w:szCs w:val="18"/>
                <w:lang w:eastAsia="de-DE"/>
              </w:rPr>
              <w:br/>
              <w:t xml:space="preserve">y </w:t>
            </w:r>
            <w:r w:rsidRPr="00186A27">
              <w:rPr>
                <w:sz w:val="18"/>
                <w:szCs w:val="18"/>
                <w:lang w:eastAsia="de-DE"/>
              </w:rPr>
              <w:t xml:space="preserve">= 0.493 – 0.524 </w:t>
            </w:r>
            <w:r w:rsidRPr="00186A27">
              <w:rPr>
                <w:i/>
                <w:iCs/>
                <w:sz w:val="18"/>
                <w:szCs w:val="18"/>
                <w:lang w:eastAsia="de-DE"/>
              </w:rPr>
              <w:t>x</w:t>
            </w:r>
          </w:p>
        </w:tc>
        <w:tc>
          <w:tcPr>
            <w:tcW w:w="1689" w:type="dxa"/>
            <w:vAlign w:val="center"/>
          </w:tcPr>
          <w:p w:rsidR="00186A27" w:rsidRPr="00186A27" w:rsidRDefault="00186A27" w:rsidP="00186A27">
            <w:pPr>
              <w:pStyle w:val="BodyText"/>
              <w:jc w:val="center"/>
              <w:rPr>
                <w:sz w:val="20"/>
                <w:szCs w:val="20"/>
              </w:rPr>
            </w:pPr>
            <w:r w:rsidRPr="00186A27">
              <w:rPr>
                <w:sz w:val="20"/>
                <w:szCs w:val="20"/>
              </w:rPr>
              <w:t>0.25</w:t>
            </w:r>
          </w:p>
        </w:tc>
      </w:tr>
    </w:tbl>
    <w:p w:rsidR="00186A27" w:rsidRDefault="00186A27" w:rsidP="00186A27">
      <w:pPr>
        <w:autoSpaceDE w:val="0"/>
        <w:autoSpaceDN w:val="0"/>
        <w:adjustRightInd w:val="0"/>
        <w:rPr>
          <w:lang w:eastAsia="de-DE"/>
        </w:rPr>
      </w:pPr>
    </w:p>
    <w:p w:rsidR="00186A27" w:rsidRPr="00444739" w:rsidRDefault="00186A27" w:rsidP="00186A27">
      <w:pPr>
        <w:autoSpaceDE w:val="0"/>
        <w:autoSpaceDN w:val="0"/>
        <w:adjustRightInd w:val="0"/>
        <w:rPr>
          <w:lang w:eastAsia="de-DE"/>
        </w:rPr>
      </w:pPr>
      <w:r w:rsidRPr="00444739">
        <w:rPr>
          <w:lang w:eastAsia="de-DE"/>
        </w:rPr>
        <w:t>(</w:t>
      </w:r>
      <w:r w:rsidRPr="00444739">
        <w:rPr>
          <w:i/>
          <w:iCs/>
          <w:lang w:eastAsia="de-DE"/>
        </w:rPr>
        <w:t>x, y</w:t>
      </w:r>
      <w:r w:rsidRPr="00444739">
        <w:rPr>
          <w:lang w:eastAsia="de-DE"/>
        </w:rPr>
        <w:t>) chromaticity coordinates of the corners of the recommended regions for fluorescent colours specified in Table 3.</w:t>
      </w:r>
    </w:p>
    <w:p w:rsidR="00186A27" w:rsidRPr="00186A27" w:rsidRDefault="00186A27" w:rsidP="00186A27">
      <w:pPr>
        <w:pStyle w:val="Table"/>
      </w:pPr>
      <w:bookmarkStart w:id="36" w:name="_Toc240354425"/>
      <w:r w:rsidRPr="00186A27">
        <w:rPr>
          <w:bCs/>
          <w:lang w:eastAsia="de-DE"/>
        </w:rPr>
        <w:t>Corners of the Chromaticity Regions of Ordinary Colours</w:t>
      </w:r>
      <w:bookmarkEnd w:id="36"/>
    </w:p>
    <w:tbl>
      <w:tblPr>
        <w:tblW w:w="8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776"/>
        <w:gridCol w:w="776"/>
        <w:gridCol w:w="777"/>
        <w:gridCol w:w="777"/>
        <w:gridCol w:w="777"/>
        <w:gridCol w:w="777"/>
        <w:gridCol w:w="777"/>
        <w:gridCol w:w="777"/>
      </w:tblGrid>
      <w:tr w:rsidR="00186A27" w:rsidRPr="00186A27" w:rsidTr="00186A27">
        <w:trPr>
          <w:jc w:val="center"/>
        </w:trPr>
        <w:tc>
          <w:tcPr>
            <w:tcW w:w="1908" w:type="dxa"/>
            <w:vMerge w:val="restart"/>
          </w:tcPr>
          <w:p w:rsidR="00186A27" w:rsidRPr="00186A27" w:rsidRDefault="00186A27" w:rsidP="00D77043">
            <w:pPr>
              <w:pStyle w:val="BodyText"/>
              <w:rPr>
                <w:szCs w:val="22"/>
              </w:rPr>
            </w:pPr>
            <w:r w:rsidRPr="00186A27">
              <w:rPr>
                <w:szCs w:val="22"/>
              </w:rPr>
              <w:t>Colour</w:t>
            </w:r>
          </w:p>
        </w:tc>
        <w:tc>
          <w:tcPr>
            <w:tcW w:w="1552" w:type="dxa"/>
            <w:gridSpan w:val="2"/>
          </w:tcPr>
          <w:p w:rsidR="00186A27" w:rsidRPr="00186A27" w:rsidRDefault="00186A27" w:rsidP="00186A27">
            <w:pPr>
              <w:pStyle w:val="BodyText"/>
              <w:jc w:val="center"/>
              <w:rPr>
                <w:szCs w:val="22"/>
              </w:rPr>
            </w:pPr>
            <w:r w:rsidRPr="00186A27">
              <w:rPr>
                <w:szCs w:val="22"/>
              </w:rPr>
              <w:t>1</w:t>
            </w:r>
          </w:p>
        </w:tc>
        <w:tc>
          <w:tcPr>
            <w:tcW w:w="1554" w:type="dxa"/>
            <w:gridSpan w:val="2"/>
          </w:tcPr>
          <w:p w:rsidR="00186A27" w:rsidRPr="00186A27" w:rsidRDefault="00186A27" w:rsidP="00186A27">
            <w:pPr>
              <w:pStyle w:val="BodyText"/>
              <w:jc w:val="center"/>
              <w:rPr>
                <w:szCs w:val="22"/>
              </w:rPr>
            </w:pPr>
            <w:r w:rsidRPr="00186A27">
              <w:rPr>
                <w:szCs w:val="22"/>
              </w:rPr>
              <w:t>2</w:t>
            </w:r>
          </w:p>
        </w:tc>
        <w:tc>
          <w:tcPr>
            <w:tcW w:w="1554" w:type="dxa"/>
            <w:gridSpan w:val="2"/>
          </w:tcPr>
          <w:p w:rsidR="00186A27" w:rsidRPr="00186A27" w:rsidRDefault="00186A27" w:rsidP="00186A27">
            <w:pPr>
              <w:pStyle w:val="BodyText"/>
              <w:jc w:val="center"/>
              <w:rPr>
                <w:szCs w:val="22"/>
              </w:rPr>
            </w:pPr>
            <w:r w:rsidRPr="00186A27">
              <w:rPr>
                <w:szCs w:val="22"/>
              </w:rPr>
              <w:t>3</w:t>
            </w:r>
          </w:p>
        </w:tc>
        <w:tc>
          <w:tcPr>
            <w:tcW w:w="1554" w:type="dxa"/>
            <w:gridSpan w:val="2"/>
          </w:tcPr>
          <w:p w:rsidR="00186A27" w:rsidRPr="00186A27" w:rsidRDefault="00186A27" w:rsidP="00186A27">
            <w:pPr>
              <w:pStyle w:val="BodyText"/>
              <w:jc w:val="center"/>
              <w:rPr>
                <w:szCs w:val="22"/>
              </w:rPr>
            </w:pPr>
            <w:r w:rsidRPr="00186A27">
              <w:rPr>
                <w:szCs w:val="22"/>
              </w:rPr>
              <w:t>4</w:t>
            </w:r>
          </w:p>
        </w:tc>
      </w:tr>
      <w:tr w:rsidR="00186A27" w:rsidRPr="00186A27" w:rsidTr="00186A27">
        <w:trPr>
          <w:jc w:val="center"/>
        </w:trPr>
        <w:tc>
          <w:tcPr>
            <w:tcW w:w="1908" w:type="dxa"/>
            <w:vMerge/>
          </w:tcPr>
          <w:p w:rsidR="00186A27" w:rsidRPr="00186A27" w:rsidRDefault="00186A27" w:rsidP="00D77043">
            <w:pPr>
              <w:pStyle w:val="BodyText"/>
              <w:rPr>
                <w:szCs w:val="22"/>
              </w:rPr>
            </w:pPr>
          </w:p>
        </w:tc>
        <w:tc>
          <w:tcPr>
            <w:tcW w:w="776" w:type="dxa"/>
          </w:tcPr>
          <w:p w:rsidR="00186A27" w:rsidRPr="00186A27" w:rsidRDefault="00186A27" w:rsidP="00186A27">
            <w:pPr>
              <w:pStyle w:val="BodyText"/>
              <w:jc w:val="center"/>
              <w:rPr>
                <w:szCs w:val="22"/>
              </w:rPr>
            </w:pPr>
            <w:r w:rsidRPr="00186A27">
              <w:rPr>
                <w:szCs w:val="22"/>
              </w:rPr>
              <w:t>x</w:t>
            </w:r>
          </w:p>
        </w:tc>
        <w:tc>
          <w:tcPr>
            <w:tcW w:w="776" w:type="dxa"/>
          </w:tcPr>
          <w:p w:rsidR="00186A27" w:rsidRPr="00186A27" w:rsidRDefault="00186A27" w:rsidP="00186A27">
            <w:pPr>
              <w:pStyle w:val="BodyText"/>
              <w:jc w:val="center"/>
              <w:rPr>
                <w:szCs w:val="22"/>
              </w:rPr>
            </w:pPr>
            <w:r w:rsidRPr="00186A27">
              <w:rPr>
                <w:szCs w:val="22"/>
              </w:rPr>
              <w:t>y</w:t>
            </w:r>
          </w:p>
        </w:tc>
        <w:tc>
          <w:tcPr>
            <w:tcW w:w="777" w:type="dxa"/>
          </w:tcPr>
          <w:p w:rsidR="00186A27" w:rsidRPr="00186A27" w:rsidRDefault="00186A27" w:rsidP="00186A27">
            <w:pPr>
              <w:pStyle w:val="BodyText"/>
              <w:jc w:val="center"/>
              <w:rPr>
                <w:szCs w:val="22"/>
              </w:rPr>
            </w:pPr>
            <w:r w:rsidRPr="00186A27">
              <w:rPr>
                <w:szCs w:val="22"/>
              </w:rPr>
              <w:t>x</w:t>
            </w:r>
          </w:p>
        </w:tc>
        <w:tc>
          <w:tcPr>
            <w:tcW w:w="777" w:type="dxa"/>
          </w:tcPr>
          <w:p w:rsidR="00186A27" w:rsidRPr="00186A27" w:rsidRDefault="00186A27" w:rsidP="00186A27">
            <w:pPr>
              <w:pStyle w:val="BodyText"/>
              <w:jc w:val="center"/>
              <w:rPr>
                <w:szCs w:val="22"/>
              </w:rPr>
            </w:pPr>
            <w:r w:rsidRPr="00186A27">
              <w:rPr>
                <w:szCs w:val="22"/>
              </w:rPr>
              <w:t>y</w:t>
            </w:r>
          </w:p>
        </w:tc>
        <w:tc>
          <w:tcPr>
            <w:tcW w:w="777" w:type="dxa"/>
          </w:tcPr>
          <w:p w:rsidR="00186A27" w:rsidRPr="00186A27" w:rsidRDefault="00186A27" w:rsidP="00186A27">
            <w:pPr>
              <w:pStyle w:val="BodyText"/>
              <w:jc w:val="center"/>
              <w:rPr>
                <w:szCs w:val="22"/>
              </w:rPr>
            </w:pPr>
            <w:r w:rsidRPr="00186A27">
              <w:rPr>
                <w:szCs w:val="22"/>
              </w:rPr>
              <w:t>x</w:t>
            </w:r>
          </w:p>
        </w:tc>
        <w:tc>
          <w:tcPr>
            <w:tcW w:w="777" w:type="dxa"/>
          </w:tcPr>
          <w:p w:rsidR="00186A27" w:rsidRPr="00186A27" w:rsidRDefault="00186A27" w:rsidP="00186A27">
            <w:pPr>
              <w:pStyle w:val="BodyText"/>
              <w:jc w:val="center"/>
              <w:rPr>
                <w:szCs w:val="22"/>
              </w:rPr>
            </w:pPr>
            <w:r w:rsidRPr="00186A27">
              <w:rPr>
                <w:szCs w:val="22"/>
              </w:rPr>
              <w:t>y</w:t>
            </w:r>
          </w:p>
        </w:tc>
        <w:tc>
          <w:tcPr>
            <w:tcW w:w="777" w:type="dxa"/>
          </w:tcPr>
          <w:p w:rsidR="00186A27" w:rsidRPr="00186A27" w:rsidRDefault="00186A27" w:rsidP="00186A27">
            <w:pPr>
              <w:pStyle w:val="BodyText"/>
              <w:jc w:val="center"/>
              <w:rPr>
                <w:szCs w:val="22"/>
              </w:rPr>
            </w:pPr>
            <w:r w:rsidRPr="00186A27">
              <w:rPr>
                <w:szCs w:val="22"/>
              </w:rPr>
              <w:t>x</w:t>
            </w:r>
          </w:p>
        </w:tc>
        <w:tc>
          <w:tcPr>
            <w:tcW w:w="777" w:type="dxa"/>
          </w:tcPr>
          <w:p w:rsidR="00186A27" w:rsidRPr="00186A27" w:rsidRDefault="00186A27" w:rsidP="00186A27">
            <w:pPr>
              <w:pStyle w:val="BodyText"/>
              <w:jc w:val="center"/>
              <w:rPr>
                <w:szCs w:val="22"/>
              </w:rPr>
            </w:pPr>
            <w:r w:rsidRPr="00186A27">
              <w:rPr>
                <w:szCs w:val="22"/>
              </w:rPr>
              <w:t>y</w:t>
            </w:r>
          </w:p>
        </w:tc>
      </w:tr>
      <w:tr w:rsidR="00186A27" w:rsidRPr="00186A27" w:rsidTr="00186A27">
        <w:trPr>
          <w:jc w:val="center"/>
        </w:trPr>
        <w:tc>
          <w:tcPr>
            <w:tcW w:w="1908" w:type="dxa"/>
            <w:vAlign w:val="center"/>
          </w:tcPr>
          <w:p w:rsidR="00186A27" w:rsidRPr="00186A27" w:rsidRDefault="00186A27" w:rsidP="00D77043">
            <w:pPr>
              <w:pStyle w:val="BodyText"/>
              <w:rPr>
                <w:szCs w:val="22"/>
              </w:rPr>
            </w:pPr>
            <w:r w:rsidRPr="00186A27">
              <w:rPr>
                <w:szCs w:val="22"/>
              </w:rPr>
              <w:t>Red</w:t>
            </w:r>
          </w:p>
        </w:tc>
        <w:tc>
          <w:tcPr>
            <w:tcW w:w="776" w:type="dxa"/>
            <w:vAlign w:val="center"/>
          </w:tcPr>
          <w:p w:rsidR="00186A27" w:rsidRPr="00186A27" w:rsidRDefault="00186A27" w:rsidP="00186A27">
            <w:pPr>
              <w:pStyle w:val="BodyText"/>
              <w:jc w:val="center"/>
              <w:rPr>
                <w:sz w:val="18"/>
                <w:szCs w:val="18"/>
              </w:rPr>
            </w:pPr>
            <w:r w:rsidRPr="00186A27">
              <w:rPr>
                <w:sz w:val="18"/>
                <w:szCs w:val="18"/>
              </w:rPr>
              <w:t>0.690</w:t>
            </w:r>
          </w:p>
        </w:tc>
        <w:tc>
          <w:tcPr>
            <w:tcW w:w="776" w:type="dxa"/>
            <w:vAlign w:val="center"/>
          </w:tcPr>
          <w:p w:rsidR="00186A27" w:rsidRPr="00186A27" w:rsidRDefault="00186A27" w:rsidP="00186A27">
            <w:pPr>
              <w:pStyle w:val="BodyText"/>
              <w:jc w:val="center"/>
              <w:rPr>
                <w:sz w:val="18"/>
                <w:szCs w:val="18"/>
              </w:rPr>
            </w:pPr>
            <w:r w:rsidRPr="00186A27">
              <w:rPr>
                <w:sz w:val="18"/>
                <w:szCs w:val="18"/>
              </w:rPr>
              <w:t>0.310</w:t>
            </w:r>
          </w:p>
        </w:tc>
        <w:tc>
          <w:tcPr>
            <w:tcW w:w="777" w:type="dxa"/>
            <w:vAlign w:val="center"/>
          </w:tcPr>
          <w:p w:rsidR="00186A27" w:rsidRPr="00186A27" w:rsidRDefault="00186A27" w:rsidP="00186A27">
            <w:pPr>
              <w:pStyle w:val="BodyText"/>
              <w:jc w:val="center"/>
              <w:rPr>
                <w:sz w:val="18"/>
                <w:szCs w:val="18"/>
              </w:rPr>
            </w:pPr>
            <w:r w:rsidRPr="00186A27">
              <w:rPr>
                <w:sz w:val="18"/>
                <w:szCs w:val="18"/>
              </w:rPr>
              <w:t>0.595</w:t>
            </w:r>
          </w:p>
        </w:tc>
        <w:tc>
          <w:tcPr>
            <w:tcW w:w="777" w:type="dxa"/>
            <w:vAlign w:val="center"/>
          </w:tcPr>
          <w:p w:rsidR="00186A27" w:rsidRPr="00186A27" w:rsidRDefault="00186A27" w:rsidP="00186A27">
            <w:pPr>
              <w:pStyle w:val="BodyText"/>
              <w:jc w:val="center"/>
              <w:rPr>
                <w:sz w:val="18"/>
                <w:szCs w:val="18"/>
              </w:rPr>
            </w:pPr>
            <w:r w:rsidRPr="00186A27">
              <w:rPr>
                <w:sz w:val="18"/>
                <w:szCs w:val="18"/>
              </w:rPr>
              <w:t>0.315</w:t>
            </w:r>
          </w:p>
        </w:tc>
        <w:tc>
          <w:tcPr>
            <w:tcW w:w="777" w:type="dxa"/>
            <w:vAlign w:val="center"/>
          </w:tcPr>
          <w:p w:rsidR="00186A27" w:rsidRPr="00186A27" w:rsidRDefault="00186A27" w:rsidP="00186A27">
            <w:pPr>
              <w:pStyle w:val="BodyText"/>
              <w:jc w:val="center"/>
              <w:rPr>
                <w:sz w:val="18"/>
                <w:szCs w:val="18"/>
              </w:rPr>
            </w:pPr>
            <w:r w:rsidRPr="00186A27">
              <w:rPr>
                <w:sz w:val="18"/>
                <w:szCs w:val="18"/>
              </w:rPr>
              <w:t>0.569</w:t>
            </w:r>
          </w:p>
        </w:tc>
        <w:tc>
          <w:tcPr>
            <w:tcW w:w="777" w:type="dxa"/>
            <w:vAlign w:val="center"/>
          </w:tcPr>
          <w:p w:rsidR="00186A27" w:rsidRPr="00186A27" w:rsidRDefault="00186A27" w:rsidP="00186A27">
            <w:pPr>
              <w:pStyle w:val="BodyText"/>
              <w:jc w:val="center"/>
              <w:rPr>
                <w:sz w:val="18"/>
                <w:szCs w:val="18"/>
              </w:rPr>
            </w:pPr>
            <w:r w:rsidRPr="00186A27">
              <w:rPr>
                <w:sz w:val="18"/>
                <w:szCs w:val="18"/>
              </w:rPr>
              <w:t>0.341</w:t>
            </w:r>
          </w:p>
        </w:tc>
        <w:tc>
          <w:tcPr>
            <w:tcW w:w="777" w:type="dxa"/>
            <w:vAlign w:val="center"/>
          </w:tcPr>
          <w:p w:rsidR="00186A27" w:rsidRPr="00186A27" w:rsidRDefault="00186A27" w:rsidP="00186A27">
            <w:pPr>
              <w:pStyle w:val="BodyText"/>
              <w:jc w:val="center"/>
              <w:rPr>
                <w:sz w:val="18"/>
                <w:szCs w:val="18"/>
              </w:rPr>
            </w:pPr>
            <w:r w:rsidRPr="00186A27">
              <w:rPr>
                <w:sz w:val="18"/>
                <w:szCs w:val="18"/>
              </w:rPr>
              <w:t>0.655</w:t>
            </w:r>
          </w:p>
        </w:tc>
        <w:tc>
          <w:tcPr>
            <w:tcW w:w="777" w:type="dxa"/>
            <w:vAlign w:val="center"/>
          </w:tcPr>
          <w:p w:rsidR="00186A27" w:rsidRPr="00186A27" w:rsidRDefault="00186A27" w:rsidP="00186A27">
            <w:pPr>
              <w:pStyle w:val="BodyText"/>
              <w:jc w:val="center"/>
              <w:rPr>
                <w:sz w:val="18"/>
                <w:szCs w:val="18"/>
              </w:rPr>
            </w:pPr>
            <w:r w:rsidRPr="00186A27">
              <w:rPr>
                <w:sz w:val="18"/>
                <w:szCs w:val="18"/>
              </w:rPr>
              <w:t>0.345</w:t>
            </w:r>
          </w:p>
        </w:tc>
      </w:tr>
      <w:tr w:rsidR="00186A27" w:rsidRPr="00186A27" w:rsidTr="00186A27">
        <w:trPr>
          <w:jc w:val="center"/>
        </w:trPr>
        <w:tc>
          <w:tcPr>
            <w:tcW w:w="1908" w:type="dxa"/>
            <w:vAlign w:val="center"/>
          </w:tcPr>
          <w:p w:rsidR="00186A27" w:rsidRPr="00186A27" w:rsidRDefault="00186A27" w:rsidP="00D77043">
            <w:pPr>
              <w:pStyle w:val="BodyText"/>
              <w:rPr>
                <w:szCs w:val="22"/>
              </w:rPr>
            </w:pPr>
            <w:r w:rsidRPr="00186A27">
              <w:rPr>
                <w:szCs w:val="22"/>
              </w:rPr>
              <w:t>Orange</w:t>
            </w:r>
          </w:p>
        </w:tc>
        <w:tc>
          <w:tcPr>
            <w:tcW w:w="776" w:type="dxa"/>
            <w:vAlign w:val="center"/>
          </w:tcPr>
          <w:p w:rsidR="00186A27" w:rsidRPr="00186A27" w:rsidRDefault="00186A27" w:rsidP="00186A27">
            <w:pPr>
              <w:pStyle w:val="BodyText"/>
              <w:jc w:val="center"/>
              <w:rPr>
                <w:sz w:val="18"/>
                <w:szCs w:val="18"/>
              </w:rPr>
            </w:pPr>
            <w:r w:rsidRPr="00186A27">
              <w:rPr>
                <w:sz w:val="18"/>
                <w:szCs w:val="18"/>
              </w:rPr>
              <w:t>0.610</w:t>
            </w:r>
          </w:p>
        </w:tc>
        <w:tc>
          <w:tcPr>
            <w:tcW w:w="776" w:type="dxa"/>
            <w:vAlign w:val="center"/>
          </w:tcPr>
          <w:p w:rsidR="00186A27" w:rsidRPr="00186A27" w:rsidRDefault="00186A27" w:rsidP="00186A27">
            <w:pPr>
              <w:pStyle w:val="BodyText"/>
              <w:jc w:val="center"/>
              <w:rPr>
                <w:sz w:val="18"/>
                <w:szCs w:val="18"/>
              </w:rPr>
            </w:pPr>
            <w:r w:rsidRPr="00186A27">
              <w:rPr>
                <w:sz w:val="18"/>
                <w:szCs w:val="18"/>
              </w:rPr>
              <w:t>0.390</w:t>
            </w:r>
          </w:p>
        </w:tc>
        <w:tc>
          <w:tcPr>
            <w:tcW w:w="777" w:type="dxa"/>
            <w:vAlign w:val="center"/>
          </w:tcPr>
          <w:p w:rsidR="00186A27" w:rsidRPr="00186A27" w:rsidRDefault="00186A27" w:rsidP="00186A27">
            <w:pPr>
              <w:pStyle w:val="BodyText"/>
              <w:jc w:val="center"/>
              <w:rPr>
                <w:sz w:val="18"/>
                <w:szCs w:val="18"/>
              </w:rPr>
            </w:pPr>
            <w:r w:rsidRPr="00186A27">
              <w:rPr>
                <w:sz w:val="18"/>
                <w:szCs w:val="18"/>
              </w:rPr>
              <w:t>0.535</w:t>
            </w:r>
          </w:p>
        </w:tc>
        <w:tc>
          <w:tcPr>
            <w:tcW w:w="777" w:type="dxa"/>
            <w:vAlign w:val="center"/>
          </w:tcPr>
          <w:p w:rsidR="00186A27" w:rsidRPr="00186A27" w:rsidRDefault="00186A27" w:rsidP="00186A27">
            <w:pPr>
              <w:pStyle w:val="BodyText"/>
              <w:jc w:val="center"/>
              <w:rPr>
                <w:sz w:val="18"/>
                <w:szCs w:val="18"/>
              </w:rPr>
            </w:pPr>
            <w:r w:rsidRPr="00186A27">
              <w:rPr>
                <w:sz w:val="18"/>
                <w:szCs w:val="18"/>
              </w:rPr>
              <w:t>0.375</w:t>
            </w:r>
          </w:p>
        </w:tc>
        <w:tc>
          <w:tcPr>
            <w:tcW w:w="777" w:type="dxa"/>
            <w:vAlign w:val="center"/>
          </w:tcPr>
          <w:p w:rsidR="00186A27" w:rsidRPr="00186A27" w:rsidRDefault="00186A27" w:rsidP="00186A27">
            <w:pPr>
              <w:pStyle w:val="BodyText"/>
              <w:jc w:val="center"/>
              <w:rPr>
                <w:sz w:val="18"/>
                <w:szCs w:val="18"/>
              </w:rPr>
            </w:pPr>
            <w:r w:rsidRPr="00186A27">
              <w:rPr>
                <w:sz w:val="18"/>
                <w:szCs w:val="18"/>
              </w:rPr>
              <w:t>0.506</w:t>
            </w:r>
          </w:p>
        </w:tc>
        <w:tc>
          <w:tcPr>
            <w:tcW w:w="777" w:type="dxa"/>
            <w:vAlign w:val="center"/>
          </w:tcPr>
          <w:p w:rsidR="00186A27" w:rsidRPr="00186A27" w:rsidRDefault="00186A27" w:rsidP="00186A27">
            <w:pPr>
              <w:pStyle w:val="BodyText"/>
              <w:jc w:val="center"/>
              <w:rPr>
                <w:sz w:val="18"/>
                <w:szCs w:val="18"/>
              </w:rPr>
            </w:pPr>
            <w:r w:rsidRPr="00186A27">
              <w:rPr>
                <w:sz w:val="18"/>
                <w:szCs w:val="18"/>
              </w:rPr>
              <w:t>0.404</w:t>
            </w:r>
          </w:p>
        </w:tc>
        <w:tc>
          <w:tcPr>
            <w:tcW w:w="777" w:type="dxa"/>
            <w:vAlign w:val="center"/>
          </w:tcPr>
          <w:p w:rsidR="00186A27" w:rsidRPr="00186A27" w:rsidRDefault="00186A27" w:rsidP="00186A27">
            <w:pPr>
              <w:pStyle w:val="BodyText"/>
              <w:jc w:val="center"/>
              <w:rPr>
                <w:sz w:val="18"/>
                <w:szCs w:val="18"/>
              </w:rPr>
            </w:pPr>
            <w:r w:rsidRPr="00186A27">
              <w:rPr>
                <w:sz w:val="18"/>
                <w:szCs w:val="18"/>
              </w:rPr>
              <w:t>0.570</w:t>
            </w:r>
          </w:p>
        </w:tc>
        <w:tc>
          <w:tcPr>
            <w:tcW w:w="777" w:type="dxa"/>
            <w:vAlign w:val="center"/>
          </w:tcPr>
          <w:p w:rsidR="00186A27" w:rsidRPr="00186A27" w:rsidRDefault="00186A27" w:rsidP="00186A27">
            <w:pPr>
              <w:pStyle w:val="BodyText"/>
              <w:jc w:val="center"/>
              <w:rPr>
                <w:sz w:val="18"/>
                <w:szCs w:val="18"/>
              </w:rPr>
            </w:pPr>
            <w:r w:rsidRPr="00186A27">
              <w:rPr>
                <w:sz w:val="18"/>
                <w:szCs w:val="18"/>
              </w:rPr>
              <w:t>0.429</w:t>
            </w:r>
          </w:p>
        </w:tc>
      </w:tr>
      <w:tr w:rsidR="00186A27" w:rsidRPr="00186A27" w:rsidTr="00186A27">
        <w:trPr>
          <w:jc w:val="center"/>
        </w:trPr>
        <w:tc>
          <w:tcPr>
            <w:tcW w:w="1908" w:type="dxa"/>
            <w:vAlign w:val="center"/>
          </w:tcPr>
          <w:p w:rsidR="00186A27" w:rsidRPr="00186A27" w:rsidRDefault="00186A27" w:rsidP="00D77043">
            <w:pPr>
              <w:pStyle w:val="BodyText"/>
              <w:rPr>
                <w:szCs w:val="22"/>
              </w:rPr>
            </w:pPr>
            <w:r w:rsidRPr="00186A27">
              <w:rPr>
                <w:szCs w:val="22"/>
              </w:rPr>
              <w:t>Yellow</w:t>
            </w:r>
          </w:p>
        </w:tc>
        <w:tc>
          <w:tcPr>
            <w:tcW w:w="776" w:type="dxa"/>
            <w:vAlign w:val="center"/>
          </w:tcPr>
          <w:p w:rsidR="00186A27" w:rsidRPr="00186A27" w:rsidRDefault="00186A27" w:rsidP="00186A27">
            <w:pPr>
              <w:pStyle w:val="BodyText"/>
              <w:jc w:val="center"/>
              <w:rPr>
                <w:sz w:val="18"/>
                <w:szCs w:val="18"/>
              </w:rPr>
            </w:pPr>
            <w:r w:rsidRPr="00186A27">
              <w:rPr>
                <w:sz w:val="18"/>
                <w:szCs w:val="18"/>
              </w:rPr>
              <w:t>0.522</w:t>
            </w:r>
          </w:p>
        </w:tc>
        <w:tc>
          <w:tcPr>
            <w:tcW w:w="776" w:type="dxa"/>
            <w:vAlign w:val="center"/>
          </w:tcPr>
          <w:p w:rsidR="00186A27" w:rsidRPr="00186A27" w:rsidRDefault="00186A27" w:rsidP="00186A27">
            <w:pPr>
              <w:pStyle w:val="BodyText"/>
              <w:jc w:val="center"/>
              <w:rPr>
                <w:sz w:val="18"/>
                <w:szCs w:val="18"/>
              </w:rPr>
            </w:pPr>
            <w:r w:rsidRPr="00186A27">
              <w:rPr>
                <w:sz w:val="18"/>
                <w:szCs w:val="18"/>
              </w:rPr>
              <w:t>0.477</w:t>
            </w:r>
          </w:p>
        </w:tc>
        <w:tc>
          <w:tcPr>
            <w:tcW w:w="777" w:type="dxa"/>
            <w:vAlign w:val="center"/>
          </w:tcPr>
          <w:p w:rsidR="00186A27" w:rsidRPr="00186A27" w:rsidRDefault="00186A27" w:rsidP="00186A27">
            <w:pPr>
              <w:pStyle w:val="BodyText"/>
              <w:jc w:val="center"/>
              <w:rPr>
                <w:sz w:val="18"/>
                <w:szCs w:val="18"/>
              </w:rPr>
            </w:pPr>
            <w:r w:rsidRPr="00186A27">
              <w:rPr>
                <w:sz w:val="18"/>
                <w:szCs w:val="18"/>
              </w:rPr>
              <w:t>0.470</w:t>
            </w:r>
          </w:p>
        </w:tc>
        <w:tc>
          <w:tcPr>
            <w:tcW w:w="777" w:type="dxa"/>
            <w:vAlign w:val="center"/>
          </w:tcPr>
          <w:p w:rsidR="00186A27" w:rsidRPr="00186A27" w:rsidRDefault="00186A27" w:rsidP="00186A27">
            <w:pPr>
              <w:pStyle w:val="BodyText"/>
              <w:jc w:val="center"/>
              <w:rPr>
                <w:sz w:val="18"/>
                <w:szCs w:val="18"/>
              </w:rPr>
            </w:pPr>
            <w:r w:rsidRPr="00186A27">
              <w:rPr>
                <w:sz w:val="18"/>
                <w:szCs w:val="18"/>
              </w:rPr>
              <w:t>0.440</w:t>
            </w:r>
          </w:p>
        </w:tc>
        <w:tc>
          <w:tcPr>
            <w:tcW w:w="777" w:type="dxa"/>
            <w:vAlign w:val="center"/>
          </w:tcPr>
          <w:p w:rsidR="00186A27" w:rsidRPr="00186A27" w:rsidRDefault="00186A27" w:rsidP="00186A27">
            <w:pPr>
              <w:pStyle w:val="BodyText"/>
              <w:jc w:val="center"/>
              <w:rPr>
                <w:sz w:val="18"/>
                <w:szCs w:val="18"/>
              </w:rPr>
            </w:pPr>
            <w:r w:rsidRPr="00186A27">
              <w:rPr>
                <w:sz w:val="18"/>
                <w:szCs w:val="18"/>
              </w:rPr>
              <w:t>0.427</w:t>
            </w:r>
          </w:p>
        </w:tc>
        <w:tc>
          <w:tcPr>
            <w:tcW w:w="777" w:type="dxa"/>
            <w:vAlign w:val="center"/>
          </w:tcPr>
          <w:p w:rsidR="00186A27" w:rsidRPr="00186A27" w:rsidRDefault="00186A27" w:rsidP="00186A27">
            <w:pPr>
              <w:pStyle w:val="BodyText"/>
              <w:jc w:val="center"/>
              <w:rPr>
                <w:sz w:val="18"/>
                <w:szCs w:val="18"/>
              </w:rPr>
            </w:pPr>
            <w:r w:rsidRPr="00186A27">
              <w:rPr>
                <w:sz w:val="18"/>
                <w:szCs w:val="18"/>
              </w:rPr>
              <w:t>0.483</w:t>
            </w:r>
          </w:p>
        </w:tc>
        <w:tc>
          <w:tcPr>
            <w:tcW w:w="777" w:type="dxa"/>
            <w:vAlign w:val="center"/>
          </w:tcPr>
          <w:p w:rsidR="00186A27" w:rsidRPr="00186A27" w:rsidRDefault="00186A27" w:rsidP="00186A27">
            <w:pPr>
              <w:pStyle w:val="BodyText"/>
              <w:jc w:val="center"/>
              <w:rPr>
                <w:sz w:val="18"/>
                <w:szCs w:val="18"/>
              </w:rPr>
            </w:pPr>
            <w:r w:rsidRPr="00186A27">
              <w:rPr>
                <w:sz w:val="18"/>
                <w:szCs w:val="18"/>
              </w:rPr>
              <w:t>0.465</w:t>
            </w:r>
          </w:p>
        </w:tc>
        <w:tc>
          <w:tcPr>
            <w:tcW w:w="777" w:type="dxa"/>
            <w:vAlign w:val="center"/>
          </w:tcPr>
          <w:p w:rsidR="00186A27" w:rsidRPr="00186A27" w:rsidRDefault="00186A27" w:rsidP="00186A27">
            <w:pPr>
              <w:pStyle w:val="BodyText"/>
              <w:jc w:val="center"/>
              <w:rPr>
                <w:sz w:val="18"/>
                <w:szCs w:val="18"/>
              </w:rPr>
            </w:pPr>
            <w:r w:rsidRPr="00186A27">
              <w:rPr>
                <w:sz w:val="18"/>
                <w:szCs w:val="18"/>
              </w:rPr>
              <w:t>0.534</w:t>
            </w:r>
          </w:p>
        </w:tc>
      </w:tr>
      <w:tr w:rsidR="00186A27" w:rsidRPr="00186A27" w:rsidTr="00186A27">
        <w:trPr>
          <w:jc w:val="center"/>
        </w:trPr>
        <w:tc>
          <w:tcPr>
            <w:tcW w:w="1908" w:type="dxa"/>
            <w:vAlign w:val="center"/>
          </w:tcPr>
          <w:p w:rsidR="00186A27" w:rsidRPr="00186A27" w:rsidRDefault="00186A27" w:rsidP="00D77043">
            <w:pPr>
              <w:pStyle w:val="BodyText"/>
              <w:rPr>
                <w:szCs w:val="22"/>
              </w:rPr>
            </w:pPr>
            <w:r w:rsidRPr="00186A27">
              <w:rPr>
                <w:szCs w:val="22"/>
              </w:rPr>
              <w:t>Green (Preferred)</w:t>
            </w:r>
          </w:p>
        </w:tc>
        <w:tc>
          <w:tcPr>
            <w:tcW w:w="776" w:type="dxa"/>
            <w:vAlign w:val="center"/>
          </w:tcPr>
          <w:p w:rsidR="00186A27" w:rsidRPr="00186A27" w:rsidRDefault="00186A27" w:rsidP="00186A27">
            <w:pPr>
              <w:pStyle w:val="BodyText"/>
              <w:jc w:val="center"/>
              <w:rPr>
                <w:sz w:val="18"/>
                <w:szCs w:val="18"/>
              </w:rPr>
            </w:pPr>
            <w:r w:rsidRPr="00186A27">
              <w:rPr>
                <w:sz w:val="18"/>
                <w:szCs w:val="18"/>
              </w:rPr>
              <w:t>0.313</w:t>
            </w:r>
          </w:p>
        </w:tc>
        <w:tc>
          <w:tcPr>
            <w:tcW w:w="776" w:type="dxa"/>
            <w:vAlign w:val="center"/>
          </w:tcPr>
          <w:p w:rsidR="00186A27" w:rsidRPr="00186A27" w:rsidRDefault="00186A27" w:rsidP="00186A27">
            <w:pPr>
              <w:pStyle w:val="BodyText"/>
              <w:jc w:val="center"/>
              <w:rPr>
                <w:sz w:val="18"/>
                <w:szCs w:val="18"/>
              </w:rPr>
            </w:pPr>
            <w:r w:rsidRPr="00186A27">
              <w:rPr>
                <w:sz w:val="18"/>
                <w:szCs w:val="18"/>
              </w:rPr>
              <w:t>0.682</w:t>
            </w:r>
          </w:p>
        </w:tc>
        <w:tc>
          <w:tcPr>
            <w:tcW w:w="777" w:type="dxa"/>
            <w:vAlign w:val="center"/>
          </w:tcPr>
          <w:p w:rsidR="00186A27" w:rsidRPr="00186A27" w:rsidRDefault="00186A27" w:rsidP="00186A27">
            <w:pPr>
              <w:pStyle w:val="BodyText"/>
              <w:jc w:val="center"/>
              <w:rPr>
                <w:sz w:val="18"/>
                <w:szCs w:val="18"/>
              </w:rPr>
            </w:pPr>
            <w:r w:rsidRPr="00186A27">
              <w:rPr>
                <w:sz w:val="18"/>
                <w:szCs w:val="18"/>
              </w:rPr>
              <w:t>0.313</w:t>
            </w:r>
          </w:p>
        </w:tc>
        <w:tc>
          <w:tcPr>
            <w:tcW w:w="777" w:type="dxa"/>
            <w:vAlign w:val="center"/>
          </w:tcPr>
          <w:p w:rsidR="00186A27" w:rsidRPr="00186A27" w:rsidRDefault="00186A27" w:rsidP="00186A27">
            <w:pPr>
              <w:pStyle w:val="BodyText"/>
              <w:jc w:val="center"/>
              <w:rPr>
                <w:sz w:val="18"/>
                <w:szCs w:val="18"/>
              </w:rPr>
            </w:pPr>
            <w:r w:rsidRPr="00186A27">
              <w:rPr>
                <w:sz w:val="18"/>
                <w:szCs w:val="18"/>
              </w:rPr>
              <w:t>0.453</w:t>
            </w:r>
          </w:p>
        </w:tc>
        <w:tc>
          <w:tcPr>
            <w:tcW w:w="777" w:type="dxa"/>
            <w:vAlign w:val="center"/>
          </w:tcPr>
          <w:p w:rsidR="00186A27" w:rsidRPr="00186A27" w:rsidRDefault="00186A27" w:rsidP="00186A27">
            <w:pPr>
              <w:pStyle w:val="BodyText"/>
              <w:jc w:val="center"/>
              <w:rPr>
                <w:sz w:val="18"/>
                <w:szCs w:val="18"/>
              </w:rPr>
            </w:pPr>
            <w:r w:rsidRPr="00186A27">
              <w:rPr>
                <w:sz w:val="18"/>
                <w:szCs w:val="18"/>
              </w:rPr>
              <w:t>0.238</w:t>
            </w:r>
          </w:p>
        </w:tc>
        <w:tc>
          <w:tcPr>
            <w:tcW w:w="777" w:type="dxa"/>
            <w:vAlign w:val="center"/>
          </w:tcPr>
          <w:p w:rsidR="00186A27" w:rsidRPr="00186A27" w:rsidRDefault="00186A27" w:rsidP="00186A27">
            <w:pPr>
              <w:pStyle w:val="BodyText"/>
              <w:jc w:val="center"/>
              <w:rPr>
                <w:sz w:val="18"/>
                <w:szCs w:val="18"/>
              </w:rPr>
            </w:pPr>
            <w:r w:rsidRPr="00186A27">
              <w:rPr>
                <w:sz w:val="18"/>
                <w:szCs w:val="18"/>
              </w:rPr>
              <w:t>0.402</w:t>
            </w:r>
          </w:p>
        </w:tc>
        <w:tc>
          <w:tcPr>
            <w:tcW w:w="777" w:type="dxa"/>
            <w:vAlign w:val="center"/>
          </w:tcPr>
          <w:p w:rsidR="00186A27" w:rsidRPr="00186A27" w:rsidRDefault="00186A27" w:rsidP="00186A27">
            <w:pPr>
              <w:pStyle w:val="BodyText"/>
              <w:jc w:val="center"/>
              <w:rPr>
                <w:sz w:val="18"/>
                <w:szCs w:val="18"/>
              </w:rPr>
            </w:pPr>
            <w:r w:rsidRPr="00186A27">
              <w:rPr>
                <w:sz w:val="18"/>
                <w:szCs w:val="18"/>
              </w:rPr>
              <w:t>0.004</w:t>
            </w:r>
          </w:p>
        </w:tc>
        <w:tc>
          <w:tcPr>
            <w:tcW w:w="777" w:type="dxa"/>
            <w:vAlign w:val="center"/>
          </w:tcPr>
          <w:p w:rsidR="00186A27" w:rsidRPr="00186A27" w:rsidRDefault="00186A27" w:rsidP="00186A27">
            <w:pPr>
              <w:pStyle w:val="BodyText"/>
              <w:jc w:val="center"/>
              <w:rPr>
                <w:sz w:val="18"/>
                <w:szCs w:val="18"/>
              </w:rPr>
            </w:pPr>
            <w:r w:rsidRPr="00186A27">
              <w:rPr>
                <w:sz w:val="18"/>
                <w:szCs w:val="18"/>
              </w:rPr>
              <w:t>0.632</w:t>
            </w:r>
          </w:p>
        </w:tc>
      </w:tr>
      <w:tr w:rsidR="00186A27" w:rsidRPr="00186A27" w:rsidTr="00186A27">
        <w:trPr>
          <w:jc w:val="center"/>
        </w:trPr>
        <w:tc>
          <w:tcPr>
            <w:tcW w:w="1908" w:type="dxa"/>
            <w:vAlign w:val="center"/>
          </w:tcPr>
          <w:p w:rsidR="00186A27" w:rsidRPr="00186A27" w:rsidRDefault="00186A27" w:rsidP="00D77043">
            <w:pPr>
              <w:pStyle w:val="BodyText"/>
              <w:rPr>
                <w:szCs w:val="22"/>
              </w:rPr>
            </w:pPr>
            <w:r w:rsidRPr="00186A27">
              <w:rPr>
                <w:szCs w:val="22"/>
              </w:rPr>
              <w:t>Green (General)</w:t>
            </w:r>
          </w:p>
        </w:tc>
        <w:tc>
          <w:tcPr>
            <w:tcW w:w="776" w:type="dxa"/>
            <w:vAlign w:val="center"/>
          </w:tcPr>
          <w:p w:rsidR="00186A27" w:rsidRPr="00186A27" w:rsidRDefault="00186A27" w:rsidP="00186A27">
            <w:pPr>
              <w:pStyle w:val="BodyText"/>
              <w:jc w:val="center"/>
              <w:rPr>
                <w:sz w:val="18"/>
                <w:szCs w:val="18"/>
              </w:rPr>
            </w:pPr>
            <w:r w:rsidRPr="00186A27">
              <w:rPr>
                <w:sz w:val="18"/>
                <w:szCs w:val="18"/>
              </w:rPr>
              <w:t>0.313</w:t>
            </w:r>
          </w:p>
        </w:tc>
        <w:tc>
          <w:tcPr>
            <w:tcW w:w="776" w:type="dxa"/>
            <w:vAlign w:val="center"/>
          </w:tcPr>
          <w:p w:rsidR="00186A27" w:rsidRPr="00186A27" w:rsidRDefault="00186A27" w:rsidP="00186A27">
            <w:pPr>
              <w:pStyle w:val="BodyText"/>
              <w:jc w:val="center"/>
              <w:rPr>
                <w:sz w:val="18"/>
                <w:szCs w:val="18"/>
              </w:rPr>
            </w:pPr>
            <w:r w:rsidRPr="00186A27">
              <w:rPr>
                <w:sz w:val="18"/>
                <w:szCs w:val="18"/>
              </w:rPr>
              <w:t>0.682</w:t>
            </w:r>
          </w:p>
        </w:tc>
        <w:tc>
          <w:tcPr>
            <w:tcW w:w="777" w:type="dxa"/>
            <w:vAlign w:val="center"/>
          </w:tcPr>
          <w:p w:rsidR="00186A27" w:rsidRPr="00186A27" w:rsidRDefault="00186A27" w:rsidP="00186A27">
            <w:pPr>
              <w:pStyle w:val="BodyText"/>
              <w:jc w:val="center"/>
              <w:rPr>
                <w:sz w:val="18"/>
                <w:szCs w:val="18"/>
              </w:rPr>
            </w:pPr>
            <w:r w:rsidRPr="00186A27">
              <w:rPr>
                <w:sz w:val="18"/>
                <w:szCs w:val="18"/>
              </w:rPr>
              <w:t>0.313</w:t>
            </w:r>
          </w:p>
        </w:tc>
        <w:tc>
          <w:tcPr>
            <w:tcW w:w="777" w:type="dxa"/>
            <w:vAlign w:val="center"/>
          </w:tcPr>
          <w:p w:rsidR="00186A27" w:rsidRPr="00186A27" w:rsidRDefault="00186A27" w:rsidP="00186A27">
            <w:pPr>
              <w:pStyle w:val="BodyText"/>
              <w:jc w:val="center"/>
              <w:rPr>
                <w:sz w:val="18"/>
                <w:szCs w:val="18"/>
              </w:rPr>
            </w:pPr>
            <w:r w:rsidRPr="00186A27">
              <w:rPr>
                <w:sz w:val="18"/>
                <w:szCs w:val="18"/>
              </w:rPr>
              <w:t>0.453</w:t>
            </w:r>
          </w:p>
        </w:tc>
        <w:tc>
          <w:tcPr>
            <w:tcW w:w="777" w:type="dxa"/>
            <w:vAlign w:val="center"/>
          </w:tcPr>
          <w:p w:rsidR="00186A27" w:rsidRPr="00186A27" w:rsidRDefault="00186A27" w:rsidP="00186A27">
            <w:pPr>
              <w:pStyle w:val="BodyText"/>
              <w:jc w:val="center"/>
              <w:rPr>
                <w:sz w:val="18"/>
                <w:szCs w:val="18"/>
              </w:rPr>
            </w:pPr>
            <w:r w:rsidRPr="00186A27">
              <w:rPr>
                <w:sz w:val="18"/>
                <w:szCs w:val="18"/>
              </w:rPr>
              <w:t>0.210</w:t>
            </w:r>
          </w:p>
        </w:tc>
        <w:tc>
          <w:tcPr>
            <w:tcW w:w="777" w:type="dxa"/>
            <w:vAlign w:val="center"/>
          </w:tcPr>
          <w:p w:rsidR="00186A27" w:rsidRPr="00186A27" w:rsidRDefault="00186A27" w:rsidP="00186A27">
            <w:pPr>
              <w:pStyle w:val="BodyText"/>
              <w:jc w:val="center"/>
              <w:rPr>
                <w:sz w:val="18"/>
                <w:szCs w:val="18"/>
              </w:rPr>
            </w:pPr>
            <w:r w:rsidRPr="00186A27">
              <w:rPr>
                <w:sz w:val="18"/>
                <w:szCs w:val="18"/>
              </w:rPr>
              <w:t>0.383</w:t>
            </w:r>
          </w:p>
        </w:tc>
        <w:tc>
          <w:tcPr>
            <w:tcW w:w="777" w:type="dxa"/>
            <w:vAlign w:val="center"/>
          </w:tcPr>
          <w:p w:rsidR="00186A27" w:rsidRPr="00186A27" w:rsidRDefault="00186A27" w:rsidP="00186A27">
            <w:pPr>
              <w:pStyle w:val="BodyText"/>
              <w:jc w:val="center"/>
              <w:rPr>
                <w:sz w:val="18"/>
                <w:szCs w:val="18"/>
              </w:rPr>
            </w:pPr>
            <w:r w:rsidRPr="00186A27">
              <w:rPr>
                <w:sz w:val="18"/>
                <w:szCs w:val="18"/>
              </w:rPr>
              <w:t>0.015</w:t>
            </w:r>
          </w:p>
        </w:tc>
        <w:tc>
          <w:tcPr>
            <w:tcW w:w="777" w:type="dxa"/>
            <w:vAlign w:val="center"/>
          </w:tcPr>
          <w:p w:rsidR="00186A27" w:rsidRPr="00186A27" w:rsidRDefault="00186A27" w:rsidP="00186A27">
            <w:pPr>
              <w:pStyle w:val="BodyText"/>
              <w:jc w:val="center"/>
              <w:rPr>
                <w:sz w:val="18"/>
                <w:szCs w:val="18"/>
              </w:rPr>
            </w:pPr>
            <w:r w:rsidRPr="00186A27">
              <w:rPr>
                <w:sz w:val="18"/>
                <w:szCs w:val="18"/>
              </w:rPr>
              <w:t>0.485</w:t>
            </w:r>
          </w:p>
        </w:tc>
      </w:tr>
    </w:tbl>
    <w:p w:rsidR="00F176ED" w:rsidRDefault="00F176ED" w:rsidP="00E22226">
      <w:pPr>
        <w:rPr>
          <w:lang w:eastAsia="en-GB"/>
        </w:rPr>
      </w:pPr>
    </w:p>
    <w:p w:rsidR="003C44EB" w:rsidRPr="00371BEF" w:rsidRDefault="00186A27" w:rsidP="00EE3BAA">
      <w:pPr>
        <w:pStyle w:val="Heading1"/>
        <w:numPr>
          <w:ilvl w:val="0"/>
          <w:numId w:val="1"/>
        </w:numPr>
      </w:pPr>
      <w:bookmarkStart w:id="37" w:name="_Toc240354412"/>
      <w:r w:rsidRPr="00186A27">
        <w:rPr>
          <w:highlight w:val="yellow"/>
        </w:rPr>
        <w:t>Colour Collections</w:t>
      </w:r>
      <w:bookmarkEnd w:id="37"/>
    </w:p>
    <w:p w:rsidR="00186A27" w:rsidRPr="007836F0" w:rsidRDefault="00186A27" w:rsidP="00186A27">
      <w:pPr>
        <w:pStyle w:val="BodyText"/>
        <w:rPr>
          <w:highlight w:val="yellow"/>
          <w:lang w:eastAsia="de-DE"/>
        </w:rPr>
      </w:pPr>
      <w:r w:rsidRPr="007836F0">
        <w:rPr>
          <w:highlight w:val="yellow"/>
          <w:lang w:eastAsia="de-DE"/>
        </w:rPr>
        <w:t xml:space="preserve">Although the use of chromaticity coordinates and luminance factor is well established in administration and industry, there are reasons to </w:t>
      </w:r>
      <w:r>
        <w:rPr>
          <w:highlight w:val="yellow"/>
          <w:lang w:eastAsia="de-DE"/>
        </w:rPr>
        <w:t>choose</w:t>
      </w:r>
      <w:r w:rsidRPr="007836F0">
        <w:rPr>
          <w:highlight w:val="yellow"/>
          <w:lang w:eastAsia="de-DE"/>
        </w:rPr>
        <w:t xml:space="preserve"> different methods to describe a colour.</w:t>
      </w:r>
    </w:p>
    <w:p w:rsidR="00186A27" w:rsidRPr="001D5A83" w:rsidRDefault="00186A27" w:rsidP="00186A27">
      <w:pPr>
        <w:pStyle w:val="BodyText"/>
        <w:rPr>
          <w:highlight w:val="yellow"/>
          <w:lang w:eastAsia="de-DE"/>
        </w:rPr>
      </w:pPr>
      <w:r w:rsidRPr="007836F0">
        <w:rPr>
          <w:highlight w:val="yellow"/>
          <w:lang w:eastAsia="de-DE"/>
        </w:rPr>
        <w:t xml:space="preserve">One possibility is to use a </w:t>
      </w:r>
      <w:r>
        <w:rPr>
          <w:highlight w:val="yellow"/>
          <w:lang w:eastAsia="de-DE"/>
        </w:rPr>
        <w:t>c</w:t>
      </w:r>
      <w:r w:rsidRPr="007836F0">
        <w:rPr>
          <w:highlight w:val="yellow"/>
          <w:lang w:eastAsia="de-DE"/>
        </w:rPr>
        <w:t xml:space="preserve">olour </w:t>
      </w:r>
      <w:r>
        <w:rPr>
          <w:highlight w:val="yellow"/>
          <w:lang w:eastAsia="de-DE"/>
        </w:rPr>
        <w:t>c</w:t>
      </w:r>
      <w:r w:rsidRPr="007836F0">
        <w:rPr>
          <w:highlight w:val="yellow"/>
          <w:lang w:eastAsia="de-DE"/>
        </w:rPr>
        <w:t xml:space="preserve">ollection. </w:t>
      </w:r>
      <w:r>
        <w:rPr>
          <w:highlight w:val="yellow"/>
          <w:lang w:eastAsia="de-DE"/>
        </w:rPr>
        <w:t>A</w:t>
      </w:r>
      <w:r w:rsidRPr="007836F0">
        <w:rPr>
          <w:highlight w:val="yellow"/>
          <w:lang w:eastAsia="de-DE"/>
        </w:rPr>
        <w:t xml:space="preserve"> collection contain</w:t>
      </w:r>
      <w:r>
        <w:rPr>
          <w:highlight w:val="yellow"/>
          <w:lang w:eastAsia="de-DE"/>
        </w:rPr>
        <w:t>s</w:t>
      </w:r>
      <w:r w:rsidRPr="007836F0">
        <w:rPr>
          <w:highlight w:val="yellow"/>
          <w:lang w:eastAsia="de-DE"/>
        </w:rPr>
        <w:t xml:space="preserve"> a number of colours and give a name to them. </w:t>
      </w:r>
      <w:r>
        <w:rPr>
          <w:highlight w:val="yellow"/>
          <w:lang w:eastAsia="de-DE"/>
        </w:rPr>
        <w:t xml:space="preserve"> </w:t>
      </w:r>
      <w:r w:rsidRPr="007836F0">
        <w:rPr>
          <w:highlight w:val="yellow"/>
          <w:lang w:eastAsia="de-DE"/>
        </w:rPr>
        <w:t xml:space="preserve">Behind the collections stands an exact procedure to </w:t>
      </w:r>
      <w:r w:rsidRPr="001D5A83">
        <w:rPr>
          <w:highlight w:val="yellow"/>
          <w:lang w:eastAsia="de-DE"/>
        </w:rPr>
        <w:t>reproduce the surface colours.</w:t>
      </w:r>
    </w:p>
    <w:p w:rsidR="00186A27" w:rsidRDefault="00186A27" w:rsidP="00186A27">
      <w:pPr>
        <w:pStyle w:val="BodyText"/>
        <w:rPr>
          <w:lang w:eastAsia="de-DE"/>
        </w:rPr>
      </w:pPr>
      <w:r w:rsidRPr="001D5A83">
        <w:rPr>
          <w:highlight w:val="yellow"/>
          <w:lang w:eastAsia="de-DE"/>
        </w:rPr>
        <w:t>The use of a colour collection simplifies the definition of a colour and reduces the colour region.  However because of the strong influence of gloss on the saturation of colour there may not be a single chromaticity coordinate for each colour.</w:t>
      </w:r>
    </w:p>
    <w:p w:rsidR="00186A27" w:rsidRDefault="00186A27" w:rsidP="00186A27">
      <w:pPr>
        <w:pStyle w:val="BodyText"/>
        <w:rPr>
          <w:lang w:eastAsia="de-DE"/>
        </w:rPr>
      </w:pPr>
    </w:p>
    <w:p w:rsidR="00186A27" w:rsidRPr="00536290" w:rsidRDefault="00186A27" w:rsidP="00186A27">
      <w:pPr>
        <w:pStyle w:val="Heading2"/>
        <w:keepNext/>
        <w:numPr>
          <w:ilvl w:val="1"/>
          <w:numId w:val="1"/>
        </w:numPr>
        <w:tabs>
          <w:tab w:val="clear" w:pos="851"/>
          <w:tab w:val="num" w:pos="576"/>
        </w:tabs>
        <w:spacing w:before="240" w:after="60"/>
        <w:ind w:left="576" w:hanging="576"/>
        <w:rPr>
          <w:highlight w:val="yellow"/>
        </w:rPr>
      </w:pPr>
      <w:bookmarkStart w:id="38" w:name="_Toc240332641"/>
      <w:bookmarkStart w:id="39" w:name="_Toc240354413"/>
      <w:r w:rsidRPr="00536290">
        <w:rPr>
          <w:highlight w:val="yellow"/>
        </w:rPr>
        <w:t>RAL CLASSIC Colour Collection</w:t>
      </w:r>
      <w:bookmarkEnd w:id="38"/>
      <w:bookmarkEnd w:id="39"/>
    </w:p>
    <w:p w:rsidR="00186A27" w:rsidRPr="00536290" w:rsidRDefault="00186A27" w:rsidP="00186A27">
      <w:pPr>
        <w:pStyle w:val="BodyText"/>
        <w:rPr>
          <w:highlight w:val="yellow"/>
          <w:lang w:eastAsia="de-DE"/>
        </w:rPr>
      </w:pPr>
      <w:r w:rsidRPr="00536290">
        <w:rPr>
          <w:highlight w:val="yellow"/>
          <w:lang w:eastAsia="de-DE"/>
        </w:rPr>
        <w:t xml:space="preserve">The IALA regions can be achieved with the RAL CLASSIC Colour collection for </w:t>
      </w:r>
      <w:r w:rsidRPr="006E12BE">
        <w:rPr>
          <w:highlight w:val="yellow"/>
          <w:u w:val="single"/>
          <w:lang w:eastAsia="de-DE"/>
        </w:rPr>
        <w:t>glossy</w:t>
      </w:r>
      <w:r w:rsidRPr="00536290">
        <w:rPr>
          <w:highlight w:val="yellow"/>
          <w:lang w:eastAsia="de-DE"/>
        </w:rPr>
        <w:t xml:space="preserve"> colour shades RAL 841-GL.</w:t>
      </w:r>
    </w:p>
    <w:p w:rsidR="00186A27" w:rsidRPr="001D5A83" w:rsidRDefault="00186A27" w:rsidP="00186A27">
      <w:pPr>
        <w:pStyle w:val="BodyText"/>
        <w:rPr>
          <w:highlight w:val="yellow"/>
          <w:lang w:eastAsia="de-DE"/>
        </w:rPr>
      </w:pPr>
      <w:r w:rsidRPr="00536290">
        <w:rPr>
          <w:highlight w:val="yellow"/>
          <w:lang w:eastAsia="de-DE"/>
        </w:rPr>
        <w:t xml:space="preserve">The following numbers are a subset of the RAL collection. </w:t>
      </w:r>
      <w:r>
        <w:rPr>
          <w:highlight w:val="yellow"/>
          <w:lang w:eastAsia="de-DE"/>
        </w:rPr>
        <w:t xml:space="preserve">They were chosen to ensure a high distance of recognition and good conspicuity. So the colours have </w:t>
      </w:r>
      <w:r w:rsidRPr="00536290">
        <w:rPr>
          <w:highlight w:val="yellow"/>
          <w:lang w:eastAsia="de-DE"/>
        </w:rPr>
        <w:t>a high saturation and luminance factor.</w:t>
      </w:r>
    </w:p>
    <w:p w:rsidR="00186A27" w:rsidRPr="006E12BE" w:rsidRDefault="00186A27" w:rsidP="00186A27">
      <w:pPr>
        <w:pStyle w:val="Heading3"/>
        <w:numPr>
          <w:ilvl w:val="2"/>
          <w:numId w:val="1"/>
        </w:numPr>
        <w:tabs>
          <w:tab w:val="clear" w:pos="851"/>
          <w:tab w:val="clear" w:pos="992"/>
          <w:tab w:val="num" w:pos="720"/>
        </w:tabs>
        <w:spacing w:before="240" w:after="60"/>
        <w:ind w:left="720" w:hanging="720"/>
        <w:rPr>
          <w:highlight w:val="yellow"/>
        </w:rPr>
      </w:pPr>
      <w:bookmarkStart w:id="40" w:name="_Toc240332642"/>
      <w:bookmarkStart w:id="41" w:name="_Toc240354414"/>
      <w:r w:rsidRPr="006E12BE">
        <w:rPr>
          <w:highlight w:val="yellow"/>
        </w:rPr>
        <w:t>Ordinary Colours</w:t>
      </w:r>
      <w:bookmarkEnd w:id="40"/>
      <w:bookmarkEnd w:id="41"/>
    </w:p>
    <w:p w:rsidR="00186A27" w:rsidRPr="006E12BE" w:rsidRDefault="00186A27" w:rsidP="00186A27">
      <w:pPr>
        <w:rPr>
          <w:szCs w:val="22"/>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2236"/>
        <w:gridCol w:w="1336"/>
      </w:tblGrid>
      <w:tr w:rsidR="00186A27" w:rsidRPr="00186A27" w:rsidTr="00186A27">
        <w:trPr>
          <w:jc w:val="center"/>
        </w:trPr>
        <w:tc>
          <w:tcPr>
            <w:tcW w:w="1368" w:type="dxa"/>
          </w:tcPr>
          <w:p w:rsidR="00186A27" w:rsidRPr="00186A27" w:rsidRDefault="00186A27" w:rsidP="00186A27">
            <w:pPr>
              <w:jc w:val="center"/>
              <w:rPr>
                <w:szCs w:val="22"/>
                <w:highlight w:val="yellow"/>
              </w:rPr>
            </w:pPr>
            <w:r w:rsidRPr="00186A27">
              <w:rPr>
                <w:szCs w:val="22"/>
                <w:highlight w:val="yellow"/>
              </w:rPr>
              <w:t>Number</w:t>
            </w:r>
          </w:p>
        </w:tc>
        <w:tc>
          <w:tcPr>
            <w:tcW w:w="2236" w:type="dxa"/>
          </w:tcPr>
          <w:p w:rsidR="00186A27" w:rsidRPr="00186A27" w:rsidRDefault="00186A27" w:rsidP="00186A27">
            <w:pPr>
              <w:jc w:val="center"/>
              <w:rPr>
                <w:szCs w:val="22"/>
                <w:highlight w:val="yellow"/>
              </w:rPr>
            </w:pPr>
            <w:r w:rsidRPr="00186A27">
              <w:rPr>
                <w:szCs w:val="22"/>
                <w:highlight w:val="yellow"/>
              </w:rPr>
              <w:t>Name</w:t>
            </w:r>
          </w:p>
        </w:tc>
        <w:tc>
          <w:tcPr>
            <w:tcW w:w="1336" w:type="dxa"/>
          </w:tcPr>
          <w:p w:rsidR="00186A27" w:rsidRPr="00186A27" w:rsidRDefault="00186A27" w:rsidP="00186A27">
            <w:pPr>
              <w:jc w:val="center"/>
              <w:rPr>
                <w:szCs w:val="22"/>
                <w:highlight w:val="yellow"/>
              </w:rPr>
            </w:pPr>
            <w:r w:rsidRPr="00186A27">
              <w:rPr>
                <w:szCs w:val="22"/>
                <w:highlight w:val="yellow"/>
              </w:rPr>
              <w:t>Luminance</w:t>
            </w:r>
          </w:p>
          <w:p w:rsidR="00186A27" w:rsidRPr="00186A27" w:rsidRDefault="00186A27" w:rsidP="00186A27">
            <w:pPr>
              <w:jc w:val="center"/>
              <w:rPr>
                <w:szCs w:val="22"/>
                <w:highlight w:val="yellow"/>
              </w:rPr>
            </w:pPr>
            <w:r w:rsidRPr="00186A27">
              <w:rPr>
                <w:szCs w:val="22"/>
                <w:highlight w:val="yellow"/>
              </w:rPr>
              <w:t>factor ß</w:t>
            </w:r>
          </w:p>
        </w:tc>
      </w:tr>
      <w:tr w:rsidR="00186A27" w:rsidRPr="00186A27" w:rsidTr="00186A27">
        <w:trPr>
          <w:jc w:val="center"/>
        </w:trPr>
        <w:tc>
          <w:tcPr>
            <w:tcW w:w="1368" w:type="dxa"/>
          </w:tcPr>
          <w:p w:rsidR="00186A27" w:rsidRPr="00186A27" w:rsidRDefault="00186A27" w:rsidP="00186A27">
            <w:pPr>
              <w:jc w:val="center"/>
              <w:rPr>
                <w:szCs w:val="22"/>
                <w:highlight w:val="yellow"/>
              </w:rPr>
            </w:pPr>
            <w:r w:rsidRPr="00186A27">
              <w:rPr>
                <w:szCs w:val="22"/>
                <w:highlight w:val="yellow"/>
              </w:rPr>
              <w:t>RAL 3028</w:t>
            </w:r>
          </w:p>
        </w:tc>
        <w:tc>
          <w:tcPr>
            <w:tcW w:w="2236" w:type="dxa"/>
          </w:tcPr>
          <w:p w:rsidR="00186A27" w:rsidRPr="00186A27" w:rsidRDefault="00186A27" w:rsidP="00186A27">
            <w:pPr>
              <w:jc w:val="center"/>
              <w:rPr>
                <w:szCs w:val="22"/>
                <w:highlight w:val="yellow"/>
              </w:rPr>
            </w:pPr>
            <w:r w:rsidRPr="00186A27">
              <w:rPr>
                <w:szCs w:val="22"/>
                <w:highlight w:val="yellow"/>
              </w:rPr>
              <w:t>Pure Red</w:t>
            </w:r>
          </w:p>
        </w:tc>
        <w:tc>
          <w:tcPr>
            <w:tcW w:w="1336" w:type="dxa"/>
          </w:tcPr>
          <w:p w:rsidR="00186A27" w:rsidRPr="00186A27" w:rsidRDefault="00186A27" w:rsidP="00186A27">
            <w:pPr>
              <w:jc w:val="center"/>
              <w:rPr>
                <w:szCs w:val="22"/>
                <w:highlight w:val="yellow"/>
              </w:rPr>
            </w:pPr>
            <w:r w:rsidRPr="00186A27">
              <w:rPr>
                <w:szCs w:val="22"/>
                <w:highlight w:val="yellow"/>
              </w:rPr>
              <w:t>&gt; 13%</w:t>
            </w:r>
          </w:p>
        </w:tc>
      </w:tr>
      <w:tr w:rsidR="00186A27" w:rsidRPr="00186A27" w:rsidTr="00186A27">
        <w:trPr>
          <w:jc w:val="center"/>
        </w:trPr>
        <w:tc>
          <w:tcPr>
            <w:tcW w:w="1368" w:type="dxa"/>
          </w:tcPr>
          <w:p w:rsidR="00186A27" w:rsidRPr="00186A27" w:rsidRDefault="00186A27" w:rsidP="00186A27">
            <w:pPr>
              <w:jc w:val="center"/>
              <w:rPr>
                <w:szCs w:val="22"/>
                <w:highlight w:val="yellow"/>
              </w:rPr>
            </w:pPr>
            <w:r w:rsidRPr="00186A27">
              <w:rPr>
                <w:szCs w:val="22"/>
                <w:highlight w:val="yellow"/>
              </w:rPr>
              <w:t>RAL 6037</w:t>
            </w:r>
          </w:p>
        </w:tc>
        <w:tc>
          <w:tcPr>
            <w:tcW w:w="2236" w:type="dxa"/>
          </w:tcPr>
          <w:p w:rsidR="00186A27" w:rsidRPr="00186A27" w:rsidRDefault="00186A27" w:rsidP="00186A27">
            <w:pPr>
              <w:jc w:val="center"/>
              <w:rPr>
                <w:szCs w:val="22"/>
                <w:highlight w:val="yellow"/>
              </w:rPr>
            </w:pPr>
            <w:r w:rsidRPr="00186A27">
              <w:rPr>
                <w:szCs w:val="22"/>
                <w:highlight w:val="yellow"/>
              </w:rPr>
              <w:t>Pure Green</w:t>
            </w:r>
          </w:p>
        </w:tc>
        <w:tc>
          <w:tcPr>
            <w:tcW w:w="1336" w:type="dxa"/>
          </w:tcPr>
          <w:p w:rsidR="00186A27" w:rsidRPr="00186A27" w:rsidRDefault="00186A27" w:rsidP="00186A27">
            <w:pPr>
              <w:jc w:val="center"/>
              <w:rPr>
                <w:szCs w:val="22"/>
                <w:highlight w:val="yellow"/>
              </w:rPr>
            </w:pPr>
            <w:r w:rsidRPr="00186A27">
              <w:rPr>
                <w:szCs w:val="22"/>
                <w:highlight w:val="yellow"/>
              </w:rPr>
              <w:t>&gt; 15%</w:t>
            </w:r>
          </w:p>
        </w:tc>
      </w:tr>
      <w:tr w:rsidR="00186A27" w:rsidRPr="00186A27" w:rsidTr="00186A27">
        <w:trPr>
          <w:jc w:val="center"/>
        </w:trPr>
        <w:tc>
          <w:tcPr>
            <w:tcW w:w="1368" w:type="dxa"/>
          </w:tcPr>
          <w:p w:rsidR="00186A27" w:rsidRPr="00186A27" w:rsidRDefault="00186A27" w:rsidP="00186A27">
            <w:pPr>
              <w:jc w:val="center"/>
              <w:rPr>
                <w:szCs w:val="22"/>
                <w:highlight w:val="yellow"/>
              </w:rPr>
            </w:pPr>
            <w:r w:rsidRPr="00186A27">
              <w:rPr>
                <w:szCs w:val="22"/>
                <w:highlight w:val="yellow"/>
              </w:rPr>
              <w:t>RAL 1023</w:t>
            </w:r>
          </w:p>
        </w:tc>
        <w:tc>
          <w:tcPr>
            <w:tcW w:w="2236" w:type="dxa"/>
          </w:tcPr>
          <w:p w:rsidR="00186A27" w:rsidRPr="00186A27" w:rsidRDefault="00186A27" w:rsidP="00186A27">
            <w:pPr>
              <w:jc w:val="center"/>
              <w:rPr>
                <w:szCs w:val="22"/>
                <w:highlight w:val="yellow"/>
              </w:rPr>
            </w:pPr>
            <w:r w:rsidRPr="00186A27">
              <w:rPr>
                <w:szCs w:val="22"/>
                <w:highlight w:val="yellow"/>
              </w:rPr>
              <w:t>Traffic Yellow</w:t>
            </w:r>
          </w:p>
        </w:tc>
        <w:tc>
          <w:tcPr>
            <w:tcW w:w="1336" w:type="dxa"/>
          </w:tcPr>
          <w:p w:rsidR="00186A27" w:rsidRPr="00186A27" w:rsidRDefault="00186A27" w:rsidP="00186A27">
            <w:pPr>
              <w:jc w:val="center"/>
              <w:rPr>
                <w:szCs w:val="22"/>
                <w:highlight w:val="yellow"/>
              </w:rPr>
            </w:pPr>
            <w:r w:rsidRPr="00186A27">
              <w:rPr>
                <w:szCs w:val="22"/>
                <w:highlight w:val="yellow"/>
              </w:rPr>
              <w:t>&gt; 50%</w:t>
            </w:r>
          </w:p>
        </w:tc>
      </w:tr>
      <w:tr w:rsidR="00186A27" w:rsidRPr="00186A27" w:rsidTr="00186A27">
        <w:trPr>
          <w:jc w:val="center"/>
        </w:trPr>
        <w:tc>
          <w:tcPr>
            <w:tcW w:w="1368" w:type="dxa"/>
          </w:tcPr>
          <w:p w:rsidR="00186A27" w:rsidRPr="00186A27" w:rsidRDefault="00186A27" w:rsidP="00186A27">
            <w:pPr>
              <w:jc w:val="center"/>
              <w:rPr>
                <w:szCs w:val="22"/>
                <w:highlight w:val="yellow"/>
              </w:rPr>
            </w:pPr>
            <w:r w:rsidRPr="00186A27">
              <w:rPr>
                <w:szCs w:val="22"/>
                <w:highlight w:val="yellow"/>
              </w:rPr>
              <w:t>RAL 2008</w:t>
            </w:r>
          </w:p>
        </w:tc>
        <w:tc>
          <w:tcPr>
            <w:tcW w:w="2236" w:type="dxa"/>
          </w:tcPr>
          <w:p w:rsidR="00186A27" w:rsidRPr="00186A27" w:rsidRDefault="00186A27" w:rsidP="00186A27">
            <w:pPr>
              <w:jc w:val="center"/>
              <w:rPr>
                <w:szCs w:val="22"/>
                <w:highlight w:val="yellow"/>
              </w:rPr>
            </w:pPr>
            <w:r w:rsidRPr="00186A27">
              <w:rPr>
                <w:szCs w:val="22"/>
                <w:highlight w:val="yellow"/>
              </w:rPr>
              <w:t>Bright Red Orange</w:t>
            </w:r>
          </w:p>
        </w:tc>
        <w:tc>
          <w:tcPr>
            <w:tcW w:w="1336" w:type="dxa"/>
          </w:tcPr>
          <w:p w:rsidR="00186A27" w:rsidRPr="00186A27" w:rsidRDefault="00186A27" w:rsidP="00186A27">
            <w:pPr>
              <w:jc w:val="center"/>
              <w:rPr>
                <w:szCs w:val="22"/>
                <w:highlight w:val="yellow"/>
              </w:rPr>
            </w:pPr>
            <w:r w:rsidRPr="00186A27">
              <w:rPr>
                <w:szCs w:val="22"/>
                <w:highlight w:val="yellow"/>
              </w:rPr>
              <w:t>&gt; 25 %</w:t>
            </w:r>
          </w:p>
        </w:tc>
      </w:tr>
      <w:tr w:rsidR="00186A27" w:rsidRPr="00186A27" w:rsidTr="00186A27">
        <w:trPr>
          <w:jc w:val="center"/>
        </w:trPr>
        <w:tc>
          <w:tcPr>
            <w:tcW w:w="1368" w:type="dxa"/>
          </w:tcPr>
          <w:p w:rsidR="00186A27" w:rsidRPr="00186A27" w:rsidRDefault="00186A27" w:rsidP="00186A27">
            <w:pPr>
              <w:jc w:val="center"/>
              <w:rPr>
                <w:szCs w:val="22"/>
                <w:highlight w:val="yellow"/>
              </w:rPr>
            </w:pPr>
            <w:r w:rsidRPr="00186A27">
              <w:rPr>
                <w:szCs w:val="22"/>
                <w:highlight w:val="yellow"/>
              </w:rPr>
              <w:t>RAL 5019</w:t>
            </w:r>
          </w:p>
        </w:tc>
        <w:tc>
          <w:tcPr>
            <w:tcW w:w="2236" w:type="dxa"/>
          </w:tcPr>
          <w:p w:rsidR="00186A27" w:rsidRPr="00186A27" w:rsidRDefault="00186A27" w:rsidP="00186A27">
            <w:pPr>
              <w:jc w:val="center"/>
              <w:rPr>
                <w:szCs w:val="22"/>
                <w:highlight w:val="yellow"/>
              </w:rPr>
            </w:pPr>
            <w:r w:rsidRPr="00186A27">
              <w:rPr>
                <w:szCs w:val="22"/>
                <w:highlight w:val="yellow"/>
              </w:rPr>
              <w:t>Capri Blue</w:t>
            </w:r>
          </w:p>
        </w:tc>
        <w:tc>
          <w:tcPr>
            <w:tcW w:w="1336" w:type="dxa"/>
          </w:tcPr>
          <w:p w:rsidR="00186A27" w:rsidRPr="00186A27" w:rsidRDefault="00186A27" w:rsidP="00186A27">
            <w:pPr>
              <w:jc w:val="center"/>
              <w:rPr>
                <w:szCs w:val="22"/>
                <w:highlight w:val="yellow"/>
              </w:rPr>
            </w:pPr>
            <w:r w:rsidRPr="00186A27">
              <w:rPr>
                <w:szCs w:val="22"/>
                <w:highlight w:val="yellow"/>
              </w:rPr>
              <w:t>&gt; 7%</w:t>
            </w:r>
          </w:p>
        </w:tc>
      </w:tr>
      <w:tr w:rsidR="00186A27" w:rsidRPr="00186A27" w:rsidTr="00186A27">
        <w:trPr>
          <w:jc w:val="center"/>
        </w:trPr>
        <w:tc>
          <w:tcPr>
            <w:tcW w:w="1368" w:type="dxa"/>
          </w:tcPr>
          <w:p w:rsidR="00186A27" w:rsidRPr="00186A27" w:rsidRDefault="00186A27" w:rsidP="00186A27">
            <w:pPr>
              <w:jc w:val="center"/>
              <w:rPr>
                <w:szCs w:val="22"/>
                <w:highlight w:val="yellow"/>
              </w:rPr>
            </w:pPr>
            <w:r w:rsidRPr="00186A27">
              <w:rPr>
                <w:szCs w:val="22"/>
                <w:highlight w:val="yellow"/>
              </w:rPr>
              <w:t>RAL 9016</w:t>
            </w:r>
          </w:p>
        </w:tc>
        <w:tc>
          <w:tcPr>
            <w:tcW w:w="2236" w:type="dxa"/>
          </w:tcPr>
          <w:p w:rsidR="00186A27" w:rsidRPr="00186A27" w:rsidRDefault="00186A27" w:rsidP="00186A27">
            <w:pPr>
              <w:jc w:val="center"/>
              <w:rPr>
                <w:szCs w:val="22"/>
                <w:highlight w:val="yellow"/>
              </w:rPr>
            </w:pPr>
            <w:r w:rsidRPr="00186A27">
              <w:rPr>
                <w:szCs w:val="22"/>
                <w:highlight w:val="yellow"/>
              </w:rPr>
              <w:t>Traffic White</w:t>
            </w:r>
          </w:p>
        </w:tc>
        <w:tc>
          <w:tcPr>
            <w:tcW w:w="1336" w:type="dxa"/>
          </w:tcPr>
          <w:p w:rsidR="00186A27" w:rsidRPr="00186A27" w:rsidRDefault="00186A27" w:rsidP="00186A27">
            <w:pPr>
              <w:jc w:val="center"/>
              <w:rPr>
                <w:szCs w:val="22"/>
                <w:highlight w:val="yellow"/>
              </w:rPr>
            </w:pPr>
            <w:r w:rsidRPr="00186A27">
              <w:rPr>
                <w:szCs w:val="22"/>
                <w:highlight w:val="yellow"/>
              </w:rPr>
              <w:t>&gt; 80%</w:t>
            </w:r>
          </w:p>
        </w:tc>
      </w:tr>
      <w:tr w:rsidR="00186A27" w:rsidRPr="00186A27" w:rsidTr="00186A27">
        <w:trPr>
          <w:jc w:val="center"/>
        </w:trPr>
        <w:tc>
          <w:tcPr>
            <w:tcW w:w="1368" w:type="dxa"/>
          </w:tcPr>
          <w:p w:rsidR="00186A27" w:rsidRPr="00186A27" w:rsidRDefault="00186A27" w:rsidP="00186A27">
            <w:pPr>
              <w:jc w:val="center"/>
              <w:rPr>
                <w:szCs w:val="22"/>
                <w:highlight w:val="yellow"/>
              </w:rPr>
            </w:pPr>
            <w:r w:rsidRPr="00186A27">
              <w:rPr>
                <w:szCs w:val="22"/>
                <w:highlight w:val="yellow"/>
              </w:rPr>
              <w:t>RAL 9017</w:t>
            </w:r>
          </w:p>
        </w:tc>
        <w:tc>
          <w:tcPr>
            <w:tcW w:w="2236" w:type="dxa"/>
          </w:tcPr>
          <w:p w:rsidR="00186A27" w:rsidRPr="00186A27" w:rsidRDefault="00186A27" w:rsidP="00186A27">
            <w:pPr>
              <w:jc w:val="center"/>
              <w:rPr>
                <w:szCs w:val="22"/>
                <w:highlight w:val="yellow"/>
              </w:rPr>
            </w:pPr>
            <w:r w:rsidRPr="00186A27">
              <w:rPr>
                <w:szCs w:val="22"/>
                <w:highlight w:val="yellow"/>
              </w:rPr>
              <w:t>Traffic Black</w:t>
            </w:r>
          </w:p>
        </w:tc>
        <w:tc>
          <w:tcPr>
            <w:tcW w:w="1336" w:type="dxa"/>
          </w:tcPr>
          <w:p w:rsidR="00186A27" w:rsidRPr="00186A27" w:rsidRDefault="00186A27" w:rsidP="00186A27">
            <w:pPr>
              <w:jc w:val="center"/>
              <w:rPr>
                <w:szCs w:val="22"/>
                <w:highlight w:val="yellow"/>
              </w:rPr>
            </w:pPr>
            <w:r w:rsidRPr="00186A27">
              <w:rPr>
                <w:szCs w:val="22"/>
                <w:highlight w:val="yellow"/>
              </w:rPr>
              <w:t>&lt; 1%</w:t>
            </w:r>
          </w:p>
        </w:tc>
      </w:tr>
    </w:tbl>
    <w:p w:rsidR="00186A27" w:rsidRPr="006E12BE" w:rsidRDefault="007F7761" w:rsidP="007F7761">
      <w:pPr>
        <w:pStyle w:val="Table"/>
        <w:rPr>
          <w:highlight w:val="yellow"/>
        </w:rPr>
      </w:pPr>
      <w:bookmarkStart w:id="42" w:name="_Toc240354426"/>
      <w:r w:rsidRPr="007F7761">
        <w:rPr>
          <w:highlight w:val="green"/>
        </w:rPr>
        <w:t>Requires title</w:t>
      </w:r>
      <w:bookmarkEnd w:id="42"/>
    </w:p>
    <w:p w:rsidR="00186A27" w:rsidRPr="006E12BE" w:rsidRDefault="00186A27" w:rsidP="00186A27">
      <w:pPr>
        <w:rPr>
          <w:szCs w:val="22"/>
          <w:highlight w:val="yellow"/>
        </w:rPr>
      </w:pPr>
      <w:r w:rsidRPr="006E12BE">
        <w:rPr>
          <w:szCs w:val="22"/>
          <w:highlight w:val="yellow"/>
        </w:rPr>
        <w:t>Remark: RAL 2009 Traffic Orange</w:t>
      </w:r>
      <w:r>
        <w:rPr>
          <w:szCs w:val="22"/>
          <w:highlight w:val="yellow"/>
        </w:rPr>
        <w:t xml:space="preserve"> and </w:t>
      </w:r>
      <w:r w:rsidRPr="006E12BE">
        <w:rPr>
          <w:szCs w:val="22"/>
          <w:highlight w:val="yellow"/>
        </w:rPr>
        <w:t>RAL 5017 Traffic Blue</w:t>
      </w:r>
      <w:r>
        <w:rPr>
          <w:szCs w:val="22"/>
          <w:highlight w:val="yellow"/>
        </w:rPr>
        <w:t xml:space="preserve"> do not </w:t>
      </w:r>
      <w:r w:rsidRPr="006E12BE">
        <w:rPr>
          <w:szCs w:val="22"/>
          <w:highlight w:val="yellow"/>
        </w:rPr>
        <w:t>meet the s</w:t>
      </w:r>
      <w:r>
        <w:rPr>
          <w:szCs w:val="22"/>
          <w:highlight w:val="yellow"/>
        </w:rPr>
        <w:t>pecifications</w:t>
      </w:r>
      <w:r w:rsidRPr="006E12BE">
        <w:rPr>
          <w:szCs w:val="22"/>
          <w:highlight w:val="yellow"/>
        </w:rPr>
        <w:t xml:space="preserve"> of this recommendation.</w:t>
      </w:r>
    </w:p>
    <w:p w:rsidR="00186A27" w:rsidRPr="007F7761" w:rsidRDefault="00186A27" w:rsidP="00186A27">
      <w:pPr>
        <w:pStyle w:val="Heading3"/>
        <w:numPr>
          <w:ilvl w:val="2"/>
          <w:numId w:val="1"/>
        </w:numPr>
        <w:tabs>
          <w:tab w:val="clear" w:pos="851"/>
          <w:tab w:val="clear" w:pos="992"/>
          <w:tab w:val="num" w:pos="720"/>
        </w:tabs>
        <w:spacing w:before="240" w:after="60"/>
        <w:ind w:left="720" w:hanging="720"/>
        <w:rPr>
          <w:highlight w:val="yellow"/>
        </w:rPr>
      </w:pPr>
      <w:bookmarkStart w:id="43" w:name="_Toc240332643"/>
      <w:bookmarkStart w:id="44" w:name="_Toc240354415"/>
      <w:r w:rsidRPr="007F7761">
        <w:rPr>
          <w:highlight w:val="yellow"/>
        </w:rPr>
        <w:t>Fluorescent Colours</w:t>
      </w:r>
      <w:bookmarkEnd w:id="43"/>
      <w:bookmarkEnd w:id="44"/>
    </w:p>
    <w:p w:rsidR="00186A27" w:rsidRDefault="00186A27" w:rsidP="00186A27">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2236"/>
        <w:gridCol w:w="1336"/>
      </w:tblGrid>
      <w:tr w:rsidR="00186A27" w:rsidRPr="00186A27" w:rsidTr="007F7761">
        <w:trPr>
          <w:jc w:val="center"/>
        </w:trPr>
        <w:tc>
          <w:tcPr>
            <w:tcW w:w="1368" w:type="dxa"/>
          </w:tcPr>
          <w:p w:rsidR="00186A27" w:rsidRPr="00186A27" w:rsidRDefault="00186A27" w:rsidP="00186A27">
            <w:pPr>
              <w:jc w:val="center"/>
              <w:rPr>
                <w:szCs w:val="22"/>
                <w:highlight w:val="yellow"/>
              </w:rPr>
            </w:pPr>
            <w:r w:rsidRPr="00186A27">
              <w:rPr>
                <w:szCs w:val="22"/>
                <w:highlight w:val="yellow"/>
              </w:rPr>
              <w:t>Number</w:t>
            </w:r>
          </w:p>
        </w:tc>
        <w:tc>
          <w:tcPr>
            <w:tcW w:w="2236" w:type="dxa"/>
          </w:tcPr>
          <w:p w:rsidR="00186A27" w:rsidRPr="00186A27" w:rsidRDefault="00186A27" w:rsidP="00186A27">
            <w:pPr>
              <w:jc w:val="center"/>
              <w:rPr>
                <w:szCs w:val="22"/>
                <w:highlight w:val="yellow"/>
              </w:rPr>
            </w:pPr>
            <w:r w:rsidRPr="00186A27">
              <w:rPr>
                <w:szCs w:val="22"/>
                <w:highlight w:val="yellow"/>
              </w:rPr>
              <w:t>Name</w:t>
            </w:r>
          </w:p>
        </w:tc>
        <w:tc>
          <w:tcPr>
            <w:tcW w:w="1336" w:type="dxa"/>
          </w:tcPr>
          <w:p w:rsidR="00186A27" w:rsidRPr="00186A27" w:rsidRDefault="00186A27" w:rsidP="00186A27">
            <w:pPr>
              <w:jc w:val="center"/>
              <w:rPr>
                <w:szCs w:val="22"/>
                <w:highlight w:val="yellow"/>
              </w:rPr>
            </w:pPr>
            <w:r w:rsidRPr="00186A27">
              <w:rPr>
                <w:szCs w:val="22"/>
                <w:highlight w:val="yellow"/>
              </w:rPr>
              <w:t>Luminance</w:t>
            </w:r>
          </w:p>
          <w:p w:rsidR="00186A27" w:rsidRPr="00186A27" w:rsidRDefault="00186A27" w:rsidP="00186A27">
            <w:pPr>
              <w:jc w:val="center"/>
              <w:rPr>
                <w:szCs w:val="22"/>
                <w:highlight w:val="yellow"/>
              </w:rPr>
            </w:pPr>
            <w:r w:rsidRPr="00186A27">
              <w:rPr>
                <w:szCs w:val="22"/>
                <w:highlight w:val="yellow"/>
              </w:rPr>
              <w:t>factor ß</w:t>
            </w:r>
          </w:p>
        </w:tc>
      </w:tr>
      <w:tr w:rsidR="00186A27" w:rsidRPr="00186A27" w:rsidTr="007F7761">
        <w:trPr>
          <w:jc w:val="center"/>
        </w:trPr>
        <w:tc>
          <w:tcPr>
            <w:tcW w:w="1368" w:type="dxa"/>
          </w:tcPr>
          <w:p w:rsidR="00186A27" w:rsidRPr="00186A27" w:rsidRDefault="00186A27" w:rsidP="00186A27">
            <w:pPr>
              <w:jc w:val="center"/>
              <w:rPr>
                <w:szCs w:val="22"/>
                <w:highlight w:val="yellow"/>
              </w:rPr>
            </w:pPr>
            <w:r w:rsidRPr="00186A27">
              <w:rPr>
                <w:szCs w:val="22"/>
              </w:rPr>
              <w:t>RAL 3024</w:t>
            </w:r>
          </w:p>
        </w:tc>
        <w:tc>
          <w:tcPr>
            <w:tcW w:w="2236" w:type="dxa"/>
          </w:tcPr>
          <w:p w:rsidR="00186A27" w:rsidRPr="00186A27" w:rsidRDefault="00186A27" w:rsidP="00186A27">
            <w:pPr>
              <w:jc w:val="center"/>
              <w:rPr>
                <w:szCs w:val="22"/>
                <w:highlight w:val="yellow"/>
              </w:rPr>
            </w:pPr>
            <w:r w:rsidRPr="00186A27">
              <w:rPr>
                <w:szCs w:val="22"/>
              </w:rPr>
              <w:t>Luminous Red</w:t>
            </w:r>
          </w:p>
        </w:tc>
        <w:tc>
          <w:tcPr>
            <w:tcW w:w="1336" w:type="dxa"/>
          </w:tcPr>
          <w:p w:rsidR="00186A27" w:rsidRPr="00186A27" w:rsidRDefault="00186A27" w:rsidP="00186A27">
            <w:pPr>
              <w:jc w:val="center"/>
              <w:rPr>
                <w:szCs w:val="22"/>
                <w:highlight w:val="yellow"/>
              </w:rPr>
            </w:pPr>
            <w:r w:rsidRPr="00186A27">
              <w:rPr>
                <w:szCs w:val="22"/>
                <w:highlight w:val="yellow"/>
              </w:rPr>
              <w:t>&gt; 25%</w:t>
            </w:r>
          </w:p>
        </w:tc>
      </w:tr>
      <w:tr w:rsidR="00186A27" w:rsidRPr="00186A27" w:rsidTr="007F7761">
        <w:trPr>
          <w:jc w:val="center"/>
        </w:trPr>
        <w:tc>
          <w:tcPr>
            <w:tcW w:w="1368" w:type="dxa"/>
          </w:tcPr>
          <w:p w:rsidR="00186A27" w:rsidRPr="00186A27" w:rsidRDefault="00186A27" w:rsidP="00186A27">
            <w:pPr>
              <w:jc w:val="center"/>
              <w:rPr>
                <w:szCs w:val="22"/>
                <w:highlight w:val="yellow"/>
              </w:rPr>
            </w:pPr>
            <w:r w:rsidRPr="00186A27">
              <w:rPr>
                <w:szCs w:val="22"/>
              </w:rPr>
              <w:t>RAL 6038</w:t>
            </w:r>
          </w:p>
        </w:tc>
        <w:tc>
          <w:tcPr>
            <w:tcW w:w="2236" w:type="dxa"/>
          </w:tcPr>
          <w:p w:rsidR="00186A27" w:rsidRPr="00186A27" w:rsidRDefault="00186A27" w:rsidP="00186A27">
            <w:pPr>
              <w:jc w:val="center"/>
              <w:rPr>
                <w:szCs w:val="22"/>
                <w:highlight w:val="yellow"/>
              </w:rPr>
            </w:pPr>
            <w:r w:rsidRPr="00186A27">
              <w:rPr>
                <w:szCs w:val="22"/>
              </w:rPr>
              <w:t>Luminous Green</w:t>
            </w:r>
          </w:p>
        </w:tc>
        <w:tc>
          <w:tcPr>
            <w:tcW w:w="1336" w:type="dxa"/>
          </w:tcPr>
          <w:p w:rsidR="00186A27" w:rsidRPr="00186A27" w:rsidRDefault="00186A27" w:rsidP="00186A27">
            <w:pPr>
              <w:jc w:val="center"/>
              <w:rPr>
                <w:szCs w:val="22"/>
                <w:highlight w:val="yellow"/>
              </w:rPr>
            </w:pPr>
            <w:r w:rsidRPr="00186A27">
              <w:rPr>
                <w:szCs w:val="22"/>
                <w:highlight w:val="yellow"/>
              </w:rPr>
              <w:t>&gt; 25%</w:t>
            </w:r>
          </w:p>
        </w:tc>
      </w:tr>
    </w:tbl>
    <w:p w:rsidR="00186A27" w:rsidRDefault="007F7761" w:rsidP="007F7761">
      <w:pPr>
        <w:pStyle w:val="Table"/>
      </w:pPr>
      <w:bookmarkStart w:id="45" w:name="_Toc240354427"/>
      <w:r w:rsidRPr="007F7761">
        <w:rPr>
          <w:highlight w:val="green"/>
        </w:rPr>
        <w:t>Requires title</w:t>
      </w:r>
      <w:bookmarkEnd w:id="45"/>
    </w:p>
    <w:p w:rsidR="00186A27" w:rsidRDefault="00186A27" w:rsidP="00186A27">
      <w:pPr>
        <w:rPr>
          <w:szCs w:val="22"/>
        </w:rPr>
      </w:pPr>
      <w:r w:rsidRPr="00444739">
        <w:rPr>
          <w:szCs w:val="22"/>
          <w:highlight w:val="yellow"/>
        </w:rPr>
        <w:t xml:space="preserve">For the fluorescent colours orange and yellow there is no RAL number that meet the </w:t>
      </w:r>
      <w:r>
        <w:rPr>
          <w:szCs w:val="22"/>
          <w:highlight w:val="yellow"/>
        </w:rPr>
        <w:t>specifications</w:t>
      </w:r>
      <w:r w:rsidRPr="00444739">
        <w:rPr>
          <w:szCs w:val="22"/>
          <w:highlight w:val="yellow"/>
        </w:rPr>
        <w:t xml:space="preserve"> of this recommendation.</w:t>
      </w:r>
    </w:p>
    <w:p w:rsidR="00186A27" w:rsidRDefault="00186A27" w:rsidP="00186A27">
      <w:pPr>
        <w:rPr>
          <w:szCs w:val="22"/>
        </w:rPr>
      </w:pPr>
    </w:p>
    <w:p w:rsidR="00186A27" w:rsidRPr="00440785" w:rsidRDefault="00186A27" w:rsidP="00186A27">
      <w:pPr>
        <w:pStyle w:val="Heading2"/>
        <w:keepNext/>
        <w:numPr>
          <w:ilvl w:val="1"/>
          <w:numId w:val="1"/>
        </w:numPr>
        <w:tabs>
          <w:tab w:val="clear" w:pos="851"/>
          <w:tab w:val="num" w:pos="576"/>
        </w:tabs>
        <w:spacing w:before="240" w:after="60"/>
        <w:ind w:left="576" w:hanging="576"/>
        <w:rPr>
          <w:highlight w:val="yellow"/>
        </w:rPr>
      </w:pPr>
      <w:bookmarkStart w:id="46" w:name="_Toc240332644"/>
      <w:bookmarkStart w:id="47" w:name="_Toc240354416"/>
      <w:r w:rsidRPr="00440785">
        <w:rPr>
          <w:highlight w:val="yellow"/>
        </w:rPr>
        <w:t>Recommended NCS Colour Numbers</w:t>
      </w:r>
      <w:bookmarkEnd w:id="46"/>
      <w:bookmarkEnd w:id="47"/>
    </w:p>
    <w:p w:rsidR="00186A27" w:rsidRDefault="00186A27" w:rsidP="00186A27">
      <w:pPr>
        <w:pStyle w:val="BodyText"/>
        <w:rPr>
          <w:i/>
          <w:lang w:eastAsia="de-DE"/>
        </w:rPr>
      </w:pPr>
      <w:r w:rsidRPr="001D5A83">
        <w:rPr>
          <w:i/>
          <w:highlight w:val="yellow"/>
          <w:lang w:eastAsia="de-DE"/>
        </w:rPr>
        <w:t>Input required from Christian Lagerwell.</w:t>
      </w:r>
    </w:p>
    <w:p w:rsidR="00186A27" w:rsidRPr="001D5A83" w:rsidRDefault="00186A27" w:rsidP="00186A27">
      <w:pPr>
        <w:pStyle w:val="BodyText"/>
        <w:rPr>
          <w:i/>
          <w:lang w:eastAsia="de-DE"/>
        </w:rPr>
      </w:pPr>
      <w:r w:rsidRPr="00805DEC">
        <w:rPr>
          <w:i/>
          <w:highlight w:val="yellow"/>
          <w:lang w:eastAsia="de-DE"/>
        </w:rPr>
        <w:t>Christian presented a list of all NCS Colours that fit into the IALA Region. I propose that Christian reduce</w:t>
      </w:r>
      <w:r>
        <w:rPr>
          <w:i/>
          <w:highlight w:val="yellow"/>
          <w:lang w:eastAsia="de-DE"/>
        </w:rPr>
        <w:t>s</w:t>
      </w:r>
      <w:r w:rsidRPr="00805DEC">
        <w:rPr>
          <w:i/>
          <w:highlight w:val="yellow"/>
          <w:lang w:eastAsia="de-DE"/>
        </w:rPr>
        <w:t xml:space="preserve"> the list to a single number for each colour.</w:t>
      </w:r>
    </w:p>
    <w:p w:rsidR="00186A27" w:rsidRPr="001D5A83" w:rsidRDefault="00186A27" w:rsidP="00186A27">
      <w:pPr>
        <w:pStyle w:val="BodyText"/>
        <w:rPr>
          <w:lang w:eastAsia="de-DE"/>
        </w:rPr>
      </w:pPr>
    </w:p>
    <w:p w:rsidR="00186A27" w:rsidRPr="006E12BE" w:rsidRDefault="00186A27" w:rsidP="00186A27">
      <w:pPr>
        <w:pStyle w:val="BodyText"/>
        <w:rPr>
          <w:lang w:eastAsia="de-DE"/>
        </w:rPr>
      </w:pPr>
    </w:p>
    <w:p w:rsidR="00186A27" w:rsidRDefault="00186A27" w:rsidP="007F7761">
      <w:pPr>
        <w:pStyle w:val="Heading1"/>
      </w:pPr>
      <w:r>
        <w:br w:type="page"/>
      </w:r>
      <w:bookmarkStart w:id="48" w:name="_Toc240332645"/>
      <w:bookmarkStart w:id="49" w:name="_Toc240354417"/>
      <w:r>
        <w:lastRenderedPageBreak/>
        <w:t>References</w:t>
      </w:r>
      <w:bookmarkEnd w:id="48"/>
      <w:bookmarkEnd w:id="49"/>
    </w:p>
    <w:p w:rsidR="00186A27" w:rsidRDefault="00186A27" w:rsidP="007F7761">
      <w:pPr>
        <w:pStyle w:val="Heading2"/>
      </w:pPr>
      <w:bookmarkStart w:id="50" w:name="_Toc240354418"/>
      <w:r>
        <w:t>English</w:t>
      </w:r>
      <w:bookmarkEnd w:id="50"/>
    </w:p>
    <w:p w:rsidR="00186A27" w:rsidRPr="007F7761" w:rsidRDefault="00186A27" w:rsidP="007F7761">
      <w:pPr>
        <w:pStyle w:val="References"/>
      </w:pPr>
      <w:r w:rsidRPr="007F7761">
        <w:t>Judd, D. B. and Yszecki, G. Color in Business, Science and Industry, 3rd Edition, New York, Viley, 1975.</w:t>
      </w:r>
    </w:p>
    <w:p w:rsidR="00186A27" w:rsidRPr="007F7761" w:rsidRDefault="00186A27" w:rsidP="007F7761">
      <w:pPr>
        <w:pStyle w:val="References"/>
      </w:pPr>
      <w:r w:rsidRPr="007F7761">
        <w:t>Wright, W. D., The Measurement of Colour, 4th Edition, London, Hilger, 1969</w:t>
      </w:r>
    </w:p>
    <w:p w:rsidR="00186A27" w:rsidRPr="007F7761" w:rsidRDefault="00186A27" w:rsidP="007F7761">
      <w:pPr>
        <w:pStyle w:val="References"/>
      </w:pPr>
      <w:r w:rsidRPr="007F7761">
        <w:t>CIE No. 39-2, Recommendations for Surface Colours for Visual Signalling, 1983</w:t>
      </w:r>
    </w:p>
    <w:p w:rsidR="00186A27" w:rsidRPr="007F7761" w:rsidRDefault="00186A27" w:rsidP="007F7761">
      <w:pPr>
        <w:pStyle w:val="References"/>
      </w:pPr>
      <w:r w:rsidRPr="007F7761">
        <w:t>CIE No. 15, technical Report: Colorimetry, 2004</w:t>
      </w:r>
    </w:p>
    <w:p w:rsidR="00186A27" w:rsidRPr="007F7761" w:rsidRDefault="00186A27" w:rsidP="007F7761">
      <w:pPr>
        <w:pStyle w:val="References"/>
        <w:rPr>
          <w:highlight w:val="yellow"/>
        </w:rPr>
      </w:pPr>
      <w:r w:rsidRPr="007F7761">
        <w:rPr>
          <w:highlight w:val="yellow"/>
        </w:rPr>
        <w:t>Rolf G. Kuehni, Color Space and Its Divisions, John Wiley &amp; Sons</w:t>
      </w:r>
    </w:p>
    <w:p w:rsidR="00186A27" w:rsidRPr="000B7BEB" w:rsidRDefault="00186A27" w:rsidP="007F7761">
      <w:pPr>
        <w:pStyle w:val="References"/>
        <w:rPr>
          <w:lang w:val="en-US"/>
        </w:rPr>
      </w:pPr>
      <w:r w:rsidRPr="007F7761">
        <w:rPr>
          <w:highlight w:val="yellow"/>
        </w:rPr>
        <w:t>Wyszecki /</w:t>
      </w:r>
      <w:r w:rsidRPr="005E0720">
        <w:rPr>
          <w:highlight w:val="yellow"/>
          <w:lang w:val="en-US"/>
        </w:rPr>
        <w:t xml:space="preserve"> Stiles, Color Science, John Wiley &amp; Sons</w:t>
      </w:r>
    </w:p>
    <w:p w:rsidR="00186A27" w:rsidRDefault="00186A27" w:rsidP="007F7761">
      <w:pPr>
        <w:pStyle w:val="Heading2"/>
      </w:pPr>
      <w:bookmarkStart w:id="51" w:name="_Toc240354419"/>
      <w:r>
        <w:t>French</w:t>
      </w:r>
      <w:bookmarkEnd w:id="51"/>
    </w:p>
    <w:p w:rsidR="00186A27" w:rsidRDefault="00186A27" w:rsidP="007F7761">
      <w:pPr>
        <w:pStyle w:val="References"/>
      </w:pPr>
      <w:r>
        <w:t>Kowaliski, P. Vision et Mesure de la Couleur, Paris, Masson, 1978</w:t>
      </w:r>
    </w:p>
    <w:p w:rsidR="00186A27" w:rsidRPr="003A51C0" w:rsidRDefault="00186A27" w:rsidP="007F7761">
      <w:pPr>
        <w:pStyle w:val="Heading2"/>
        <w:rPr>
          <w:lang w:val="de-DE"/>
        </w:rPr>
      </w:pPr>
      <w:bookmarkStart w:id="52" w:name="_Toc240354420"/>
      <w:r w:rsidRPr="003A51C0">
        <w:rPr>
          <w:lang w:val="de-DE"/>
        </w:rPr>
        <w:t>German</w:t>
      </w:r>
      <w:bookmarkEnd w:id="52"/>
    </w:p>
    <w:p w:rsidR="00186A27" w:rsidRPr="003A51C0" w:rsidRDefault="00186A27" w:rsidP="007F7761">
      <w:pPr>
        <w:pStyle w:val="References"/>
        <w:rPr>
          <w:lang w:val="de-DE"/>
        </w:rPr>
      </w:pPr>
      <w:r w:rsidRPr="003A51C0">
        <w:rPr>
          <w:lang w:val="de-DE"/>
        </w:rPr>
        <w:t>Richter, M., Einführung in die Farbmetrik, Berlin, de Gruyter, 1976.</w:t>
      </w:r>
    </w:p>
    <w:p w:rsidR="00186A27" w:rsidRDefault="00186A27" w:rsidP="007F7761">
      <w:pPr>
        <w:pStyle w:val="Heading2"/>
      </w:pPr>
      <w:bookmarkStart w:id="53" w:name="_Toc240354421"/>
      <w:r>
        <w:t>Spanish</w:t>
      </w:r>
      <w:bookmarkEnd w:id="53"/>
    </w:p>
    <w:p w:rsidR="003C44EB" w:rsidRPr="00371BEF" w:rsidRDefault="00186A27" w:rsidP="007F7761">
      <w:pPr>
        <w:pStyle w:val="References"/>
        <w:rPr>
          <w:lang w:eastAsia="de-DE"/>
        </w:rPr>
      </w:pPr>
      <w:r>
        <w:rPr>
          <w:lang w:val="en-US"/>
        </w:rPr>
        <w:t xml:space="preserve">Lozano, R. D. El Color y su Medición, </w:t>
      </w:r>
      <w:smartTag w:uri="urn:schemas-microsoft-com:office:smarttags" w:element="place">
        <w:smartTag w:uri="urn:schemas-microsoft-com:office:smarttags" w:element="City">
          <w:r>
            <w:rPr>
              <w:lang w:val="en-US"/>
            </w:rPr>
            <w:t>Buenos Aires</w:t>
          </w:r>
        </w:smartTag>
      </w:smartTag>
      <w:r>
        <w:rPr>
          <w:lang w:val="en-US"/>
        </w:rPr>
        <w:t>, Editorial Americalee, 1978</w:t>
      </w:r>
    </w:p>
    <w:p w:rsidR="00DF6EB4" w:rsidRPr="00DF6EB4" w:rsidRDefault="00DF6EB4" w:rsidP="00DF6EB4">
      <w:pPr>
        <w:rPr>
          <w:lang w:eastAsia="en-GB"/>
        </w:rPr>
      </w:pPr>
    </w:p>
    <w:sectPr w:rsidR="00DF6EB4" w:rsidRPr="00DF6EB4" w:rsidSect="00AB2FA0">
      <w:headerReference w:type="default" r:id="rId13"/>
      <w:footerReference w:type="default" r:id="rId14"/>
      <w:headerReference w:type="first" r:id="rId15"/>
      <w:pgSz w:w="11906" w:h="16838"/>
      <w:pgMar w:top="1134" w:right="1134" w:bottom="1134" w:left="1418"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611" w:rsidRDefault="002E3611" w:rsidP="009E1230">
      <w:r>
        <w:separator/>
      </w:r>
    </w:p>
  </w:endnote>
  <w:endnote w:type="continuationSeparator" w:id="0">
    <w:p w:rsidR="002E3611" w:rsidRDefault="002E3611" w:rsidP="009E12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TimesNewRoman,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230" w:rsidRPr="008136BC" w:rsidRDefault="009E1230" w:rsidP="00AB2FA0">
    <w:pPr>
      <w:pStyle w:val="Footer"/>
    </w:pPr>
    <w:r w:rsidRPr="008136BC">
      <w:tab/>
    </w:r>
    <w:r w:rsidRPr="008136BC">
      <w:rPr>
        <w:lang w:val="en-US"/>
      </w:rPr>
      <w:t xml:space="preserve">Page </w:t>
    </w:r>
    <w:r w:rsidR="00612061" w:rsidRPr="008136BC">
      <w:rPr>
        <w:lang w:val="en-US"/>
      </w:rPr>
      <w:fldChar w:fldCharType="begin"/>
    </w:r>
    <w:r w:rsidRPr="008136BC">
      <w:rPr>
        <w:lang w:val="en-US"/>
      </w:rPr>
      <w:instrText xml:space="preserve"> PAGE </w:instrText>
    </w:r>
    <w:r w:rsidR="00612061" w:rsidRPr="008136BC">
      <w:rPr>
        <w:lang w:val="en-US"/>
      </w:rPr>
      <w:fldChar w:fldCharType="separate"/>
    </w:r>
    <w:r w:rsidR="00AD002E">
      <w:rPr>
        <w:noProof/>
        <w:lang w:val="en-US"/>
      </w:rPr>
      <w:t>2</w:t>
    </w:r>
    <w:r w:rsidR="00612061" w:rsidRPr="008136BC">
      <w:rPr>
        <w:lang w:val="en-US"/>
      </w:rPr>
      <w:fldChar w:fldCharType="end"/>
    </w:r>
    <w:r w:rsidRPr="008136BC">
      <w:rPr>
        <w:lang w:val="en-US"/>
      </w:rPr>
      <w:t xml:space="preserve"> of </w:t>
    </w:r>
    <w:r w:rsidR="00612061" w:rsidRPr="008136BC">
      <w:rPr>
        <w:lang w:val="en-US"/>
      </w:rPr>
      <w:fldChar w:fldCharType="begin"/>
    </w:r>
    <w:r w:rsidRPr="008136BC">
      <w:rPr>
        <w:lang w:val="en-US"/>
      </w:rPr>
      <w:instrText xml:space="preserve"> NUMPAGES </w:instrText>
    </w:r>
    <w:r w:rsidR="00612061" w:rsidRPr="008136BC">
      <w:rPr>
        <w:lang w:val="en-US"/>
      </w:rPr>
      <w:fldChar w:fldCharType="separate"/>
    </w:r>
    <w:r w:rsidR="00AD002E">
      <w:rPr>
        <w:noProof/>
        <w:lang w:val="en-US"/>
      </w:rPr>
      <w:t>15</w:t>
    </w:r>
    <w:r w:rsidR="00612061" w:rsidRPr="008136BC">
      <w:rPr>
        <w:lang w:val="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611" w:rsidRDefault="002E3611" w:rsidP="009E1230">
      <w:r>
        <w:separator/>
      </w:r>
    </w:p>
  </w:footnote>
  <w:footnote w:type="continuationSeparator" w:id="0">
    <w:p w:rsidR="002E3611" w:rsidRDefault="002E3611" w:rsidP="009E1230">
      <w:r>
        <w:continuationSeparator/>
      </w:r>
    </w:p>
  </w:footnote>
  <w:footnote w:id="1">
    <w:p w:rsidR="00105CCA" w:rsidRDefault="00105CCA" w:rsidP="00105CCA">
      <w:pPr>
        <w:pStyle w:val="FootnoteText"/>
        <w:ind w:left="426" w:hanging="426"/>
      </w:pPr>
      <w:r>
        <w:rPr>
          <w:rStyle w:val="FootnoteReference"/>
        </w:rPr>
        <w:footnoteRef/>
      </w:r>
      <w:r>
        <w:t xml:space="preserve"> </w:t>
      </w:r>
      <w:r>
        <w:tab/>
        <w:t>CIE Surface colours for visual signalling</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6BC" w:rsidRPr="00105CCA" w:rsidRDefault="008136BC" w:rsidP="0004410E">
    <w:pPr>
      <w:pStyle w:val="Header"/>
      <w:jc w:val="center"/>
    </w:pPr>
    <w:r w:rsidRPr="00105CCA">
      <w:t>Recommendation</w:t>
    </w:r>
    <w:r w:rsidR="004C2F5C" w:rsidRPr="00105CCA">
      <w:t xml:space="preserve"> </w:t>
    </w:r>
    <w:r w:rsidR="00105CCA">
      <w:t>E-108</w:t>
    </w:r>
    <w:r w:rsidR="0044047B" w:rsidRPr="00105CCA">
      <w:t xml:space="preserve"> </w:t>
    </w:r>
    <w:r w:rsidRPr="00105CCA">
      <w:t xml:space="preserve">– </w:t>
    </w:r>
    <w:r w:rsidR="00105CCA">
      <w:t>Surface colours used as visual signals on aids to navigation</w:t>
    </w:r>
  </w:p>
  <w:p w:rsidR="008136BC" w:rsidRDefault="00105CCA" w:rsidP="008136BC">
    <w:pPr>
      <w:pBdr>
        <w:bottom w:val="single" w:sz="4" w:space="1" w:color="auto"/>
      </w:pBdr>
      <w:jc w:val="center"/>
    </w:pPr>
    <w:r>
      <w:rPr>
        <w:rFonts w:cs="Arial"/>
        <w:sz w:val="20"/>
      </w:rPr>
      <w:t>May 1988</w:t>
    </w:r>
    <w:r w:rsidR="008136BC" w:rsidRPr="00105CCA">
      <w:rPr>
        <w:rFonts w:cs="Arial"/>
        <w:sz w:val="20"/>
      </w:rPr>
      <w:t xml:space="preserve"> - Revised </w:t>
    </w:r>
    <w:r w:rsidRPr="00105CCA">
      <w:rPr>
        <w:rFonts w:cs="Arial"/>
        <w:sz w:val="20"/>
        <w:highlight w:val="yellow"/>
      </w:rPr>
      <w:t>December 2009</w:t>
    </w:r>
  </w:p>
  <w:p w:rsidR="009E1230" w:rsidRDefault="009E1230" w:rsidP="00AB2F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10E" w:rsidRDefault="00AD002E" w:rsidP="00AD002E">
    <w:pPr>
      <w:pStyle w:val="Header"/>
    </w:pPr>
    <w:r>
      <w:tab/>
    </w:r>
    <w:r>
      <w:tab/>
      <w:t>EEP14/11/3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2AA85A0"/>
    <w:lvl w:ilvl="0">
      <w:start w:val="1"/>
      <w:numFmt w:val="decimal"/>
      <w:lvlText w:val="%1."/>
      <w:lvlJc w:val="left"/>
      <w:pPr>
        <w:tabs>
          <w:tab w:val="num" w:pos="1492"/>
        </w:tabs>
        <w:ind w:left="1492" w:hanging="360"/>
      </w:pPr>
    </w:lvl>
  </w:abstractNum>
  <w:abstractNum w:abstractNumId="1">
    <w:nsid w:val="FFFFFF7D"/>
    <w:multiLevelType w:val="singleLevel"/>
    <w:tmpl w:val="032AE5E8"/>
    <w:lvl w:ilvl="0">
      <w:start w:val="1"/>
      <w:numFmt w:val="decimal"/>
      <w:lvlText w:val="%1."/>
      <w:lvlJc w:val="left"/>
      <w:pPr>
        <w:tabs>
          <w:tab w:val="num" w:pos="1209"/>
        </w:tabs>
        <w:ind w:left="1209" w:hanging="360"/>
      </w:pPr>
    </w:lvl>
  </w:abstractNum>
  <w:abstractNum w:abstractNumId="2">
    <w:nsid w:val="FFFFFF7E"/>
    <w:multiLevelType w:val="singleLevel"/>
    <w:tmpl w:val="DB6EAEE4"/>
    <w:lvl w:ilvl="0">
      <w:start w:val="1"/>
      <w:numFmt w:val="decimal"/>
      <w:lvlText w:val="%1."/>
      <w:lvlJc w:val="left"/>
      <w:pPr>
        <w:tabs>
          <w:tab w:val="num" w:pos="926"/>
        </w:tabs>
        <w:ind w:left="926" w:hanging="360"/>
      </w:pPr>
    </w:lvl>
  </w:abstractNum>
  <w:abstractNum w:abstractNumId="3">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4">
    <w:nsid w:val="FFFFFF80"/>
    <w:multiLevelType w:val="singleLevel"/>
    <w:tmpl w:val="7DF45D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1A2B6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976957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E24E4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1E7E01D9"/>
    <w:multiLevelType w:val="hybridMultilevel"/>
    <w:tmpl w:val="A5ECC6A6"/>
    <w:lvl w:ilvl="0" w:tplc="6316B84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1D108A9"/>
    <w:multiLevelType w:val="multilevel"/>
    <w:tmpl w:val="04090023"/>
    <w:numStyleLink w:val="ArticleSection"/>
  </w:abstractNum>
  <w:abstractNum w:abstractNumId="14">
    <w:nsid w:val="24436927"/>
    <w:multiLevelType w:val="hybridMultilevel"/>
    <w:tmpl w:val="70C6E2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3E6B4F5D"/>
    <w:multiLevelType w:val="hybridMultilevel"/>
    <w:tmpl w:val="E932E71C"/>
    <w:lvl w:ilvl="0" w:tplc="82E02C78">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4070003" w:tentative="1">
      <w:start w:val="1"/>
      <w:numFmt w:val="lowerLetter"/>
      <w:lvlText w:val="%2."/>
      <w:lvlJc w:val="left"/>
      <w:pPr>
        <w:ind w:left="8594" w:hanging="360"/>
      </w:pPr>
    </w:lvl>
    <w:lvl w:ilvl="2" w:tplc="04070005" w:tentative="1">
      <w:start w:val="1"/>
      <w:numFmt w:val="lowerRoman"/>
      <w:lvlText w:val="%3."/>
      <w:lvlJc w:val="right"/>
      <w:pPr>
        <w:ind w:left="9314" w:hanging="180"/>
      </w:pPr>
    </w:lvl>
    <w:lvl w:ilvl="3" w:tplc="04070001" w:tentative="1">
      <w:start w:val="1"/>
      <w:numFmt w:val="decimal"/>
      <w:lvlText w:val="%4."/>
      <w:lvlJc w:val="left"/>
      <w:pPr>
        <w:ind w:left="10034" w:hanging="360"/>
      </w:pPr>
    </w:lvl>
    <w:lvl w:ilvl="4" w:tplc="04070003" w:tentative="1">
      <w:start w:val="1"/>
      <w:numFmt w:val="lowerLetter"/>
      <w:lvlText w:val="%5."/>
      <w:lvlJc w:val="left"/>
      <w:pPr>
        <w:ind w:left="10754" w:hanging="360"/>
      </w:pPr>
    </w:lvl>
    <w:lvl w:ilvl="5" w:tplc="04070005" w:tentative="1">
      <w:start w:val="1"/>
      <w:numFmt w:val="lowerRoman"/>
      <w:lvlText w:val="%6."/>
      <w:lvlJc w:val="right"/>
      <w:pPr>
        <w:ind w:left="11474" w:hanging="180"/>
      </w:pPr>
    </w:lvl>
    <w:lvl w:ilvl="6" w:tplc="04070001" w:tentative="1">
      <w:start w:val="1"/>
      <w:numFmt w:val="decimal"/>
      <w:lvlText w:val="%7."/>
      <w:lvlJc w:val="left"/>
      <w:pPr>
        <w:ind w:left="12194" w:hanging="360"/>
      </w:pPr>
    </w:lvl>
    <w:lvl w:ilvl="7" w:tplc="04070003" w:tentative="1">
      <w:start w:val="1"/>
      <w:numFmt w:val="lowerLetter"/>
      <w:lvlText w:val="%8."/>
      <w:lvlJc w:val="left"/>
      <w:pPr>
        <w:ind w:left="12914" w:hanging="360"/>
      </w:pPr>
    </w:lvl>
    <w:lvl w:ilvl="8" w:tplc="04070005" w:tentative="1">
      <w:start w:val="1"/>
      <w:numFmt w:val="lowerRoman"/>
      <w:lvlText w:val="%9."/>
      <w:lvlJc w:val="right"/>
      <w:pPr>
        <w:ind w:left="13634" w:hanging="180"/>
      </w:pPr>
    </w:lvl>
  </w:abstractNum>
  <w:abstractNum w:abstractNumId="17">
    <w:nsid w:val="4BC63137"/>
    <w:multiLevelType w:val="hybridMultilevel"/>
    <w:tmpl w:val="FB6291FE"/>
    <w:lvl w:ilvl="0" w:tplc="E1C4E124">
      <w:start w:val="1"/>
      <w:numFmt w:val="bullet"/>
      <w:pStyle w:val="Bullet1"/>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nsid w:val="76D64DA6"/>
    <w:multiLevelType w:val="hybridMultilevel"/>
    <w:tmpl w:val="7A3AA616"/>
    <w:lvl w:ilvl="0" w:tplc="A1420E12">
      <w:start w:val="1"/>
      <w:numFmt w:val="bullet"/>
      <w:pStyle w:val="Bullet3"/>
      <w:lvlText w:val=""/>
      <w:lvlJc w:val="left"/>
      <w:pPr>
        <w:ind w:left="1778" w:hanging="360"/>
      </w:pPr>
      <w:rPr>
        <w:rFonts w:ascii="Wingdings" w:hAnsi="Wingdings" w:hint="default"/>
      </w:rPr>
    </w:lvl>
    <w:lvl w:ilvl="1" w:tplc="448ACA8A" w:tentative="1">
      <w:start w:val="1"/>
      <w:numFmt w:val="bullet"/>
      <w:lvlText w:val="o"/>
      <w:lvlJc w:val="left"/>
      <w:pPr>
        <w:tabs>
          <w:tab w:val="num" w:pos="1440"/>
        </w:tabs>
        <w:ind w:left="1440" w:hanging="360"/>
      </w:pPr>
      <w:rPr>
        <w:rFonts w:ascii="Courier New" w:hAnsi="Courier New" w:cs="Courier New" w:hint="default"/>
      </w:rPr>
    </w:lvl>
    <w:lvl w:ilvl="2" w:tplc="89703082" w:tentative="1">
      <w:start w:val="1"/>
      <w:numFmt w:val="bullet"/>
      <w:lvlText w:val=""/>
      <w:lvlJc w:val="left"/>
      <w:pPr>
        <w:tabs>
          <w:tab w:val="num" w:pos="2160"/>
        </w:tabs>
        <w:ind w:left="2160" w:hanging="360"/>
      </w:pPr>
      <w:rPr>
        <w:rFonts w:ascii="Wingdings" w:hAnsi="Wingdings" w:hint="default"/>
      </w:rPr>
    </w:lvl>
    <w:lvl w:ilvl="3" w:tplc="5D32CEFC" w:tentative="1">
      <w:start w:val="1"/>
      <w:numFmt w:val="bullet"/>
      <w:lvlText w:val=""/>
      <w:lvlJc w:val="left"/>
      <w:pPr>
        <w:tabs>
          <w:tab w:val="num" w:pos="2880"/>
        </w:tabs>
        <w:ind w:left="2880" w:hanging="360"/>
      </w:pPr>
      <w:rPr>
        <w:rFonts w:ascii="Symbol" w:hAnsi="Symbol" w:hint="default"/>
      </w:rPr>
    </w:lvl>
    <w:lvl w:ilvl="4" w:tplc="10A86BDC" w:tentative="1">
      <w:start w:val="1"/>
      <w:numFmt w:val="bullet"/>
      <w:lvlText w:val="o"/>
      <w:lvlJc w:val="left"/>
      <w:pPr>
        <w:tabs>
          <w:tab w:val="num" w:pos="3600"/>
        </w:tabs>
        <w:ind w:left="3600" w:hanging="360"/>
      </w:pPr>
      <w:rPr>
        <w:rFonts w:ascii="Courier New" w:hAnsi="Courier New" w:cs="Courier New" w:hint="default"/>
      </w:rPr>
    </w:lvl>
    <w:lvl w:ilvl="5" w:tplc="2FE83D6A" w:tentative="1">
      <w:start w:val="1"/>
      <w:numFmt w:val="bullet"/>
      <w:lvlText w:val=""/>
      <w:lvlJc w:val="left"/>
      <w:pPr>
        <w:tabs>
          <w:tab w:val="num" w:pos="4320"/>
        </w:tabs>
        <w:ind w:left="4320" w:hanging="360"/>
      </w:pPr>
      <w:rPr>
        <w:rFonts w:ascii="Wingdings" w:hAnsi="Wingdings" w:hint="default"/>
      </w:rPr>
    </w:lvl>
    <w:lvl w:ilvl="6" w:tplc="81EA5D6A" w:tentative="1">
      <w:start w:val="1"/>
      <w:numFmt w:val="bullet"/>
      <w:lvlText w:val=""/>
      <w:lvlJc w:val="left"/>
      <w:pPr>
        <w:tabs>
          <w:tab w:val="num" w:pos="5040"/>
        </w:tabs>
        <w:ind w:left="5040" w:hanging="360"/>
      </w:pPr>
      <w:rPr>
        <w:rFonts w:ascii="Symbol" w:hAnsi="Symbol" w:hint="default"/>
      </w:rPr>
    </w:lvl>
    <w:lvl w:ilvl="7" w:tplc="43E64F8A" w:tentative="1">
      <w:start w:val="1"/>
      <w:numFmt w:val="bullet"/>
      <w:lvlText w:val="o"/>
      <w:lvlJc w:val="left"/>
      <w:pPr>
        <w:tabs>
          <w:tab w:val="num" w:pos="5760"/>
        </w:tabs>
        <w:ind w:left="5760" w:hanging="360"/>
      </w:pPr>
      <w:rPr>
        <w:rFonts w:ascii="Courier New" w:hAnsi="Courier New" w:cs="Courier New" w:hint="default"/>
      </w:rPr>
    </w:lvl>
    <w:lvl w:ilvl="8" w:tplc="C1E63CCE" w:tentative="1">
      <w:start w:val="1"/>
      <w:numFmt w:val="bullet"/>
      <w:lvlText w:val=""/>
      <w:lvlJc w:val="left"/>
      <w:pPr>
        <w:tabs>
          <w:tab w:val="num" w:pos="6480"/>
        </w:tabs>
        <w:ind w:left="6480" w:hanging="360"/>
      </w:pPr>
      <w:rPr>
        <w:rFonts w:ascii="Wingdings" w:hAnsi="Wingdings" w:hint="default"/>
      </w:rPr>
    </w:lvl>
  </w:abstractNum>
  <w:abstractNum w:abstractNumId="22">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5"/>
  </w:num>
  <w:num w:numId="5">
    <w:abstractNumId w:val="17"/>
  </w:num>
  <w:num w:numId="6">
    <w:abstractNumId w:val="21"/>
  </w:num>
  <w:num w:numId="7">
    <w:abstractNumId w:val="16"/>
  </w:num>
  <w:num w:numId="8">
    <w:abstractNumId w:val="20"/>
  </w:num>
  <w:num w:numId="9">
    <w:abstractNumId w:val="11"/>
  </w:num>
  <w:num w:numId="10">
    <w:abstractNumId w:val="22"/>
  </w:num>
  <w:num w:numId="11">
    <w:abstractNumId w:val="19"/>
  </w:num>
  <w:num w:numId="12">
    <w:abstractNumId w:val="8"/>
  </w:num>
  <w:num w:numId="13">
    <w:abstractNumId w:val="3"/>
  </w:num>
  <w:num w:numId="14">
    <w:abstractNumId w:val="12"/>
  </w:num>
  <w:num w:numId="15">
    <w:abstractNumId w:val="18"/>
  </w:num>
  <w:num w:numId="16">
    <w:abstractNumId w:val="10"/>
    <w:lvlOverride w:ilvl="0">
      <w:startOverride w:val="1"/>
    </w:lvlOverride>
  </w:num>
  <w:num w:numId="17">
    <w:abstractNumId w:val="7"/>
  </w:num>
  <w:num w:numId="18">
    <w:abstractNumId w:val="6"/>
  </w:num>
  <w:num w:numId="19">
    <w:abstractNumId w:val="5"/>
  </w:num>
  <w:num w:numId="20">
    <w:abstractNumId w:val="4"/>
  </w:num>
  <w:num w:numId="21">
    <w:abstractNumId w:val="2"/>
  </w:num>
  <w:num w:numId="22">
    <w:abstractNumId w:val="1"/>
  </w:num>
  <w:num w:numId="23">
    <w:abstractNumId w:val="0"/>
  </w:num>
  <w:num w:numId="24">
    <w:abstractNumId w:val="10"/>
  </w:num>
  <w:num w:numId="25">
    <w:abstractNumId w:val="14"/>
  </w:num>
  <w:num w:numId="26">
    <w:abstractNumId w:val="13"/>
  </w:num>
  <w:num w:numId="27">
    <w:abstractNumId w:val="11"/>
    <w:lvlOverride w:ilvl="0">
      <w:startOverride w:val="10"/>
    </w:lvlOverride>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attachedTemplate r:id="rId1"/>
  <w:stylePaneFormatFilter w:val="0004"/>
  <w:doNotTrackMoves/>
  <w:defaultTabStop w:val="720"/>
  <w:drawingGridHorizontalSpacing w:val="110"/>
  <w:displayHorizontalDrawingGridEvery w:val="2"/>
  <w:noPunctuationKerning/>
  <w:characterSpacingControl w:val="doNotCompress"/>
  <w:hdrShapeDefaults>
    <o:shapedefaults v:ext="edit" spidmax="31746">
      <o:colormenu v:ext="edit" strokecolor="none"/>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05CCA"/>
    <w:rsid w:val="000420D8"/>
    <w:rsid w:val="0004410E"/>
    <w:rsid w:val="000448A8"/>
    <w:rsid w:val="00070873"/>
    <w:rsid w:val="000D7400"/>
    <w:rsid w:val="00105CCA"/>
    <w:rsid w:val="00134673"/>
    <w:rsid w:val="0014493F"/>
    <w:rsid w:val="00184986"/>
    <w:rsid w:val="00186A27"/>
    <w:rsid w:val="001A0F18"/>
    <w:rsid w:val="001D3B7C"/>
    <w:rsid w:val="001D7306"/>
    <w:rsid w:val="001E7399"/>
    <w:rsid w:val="001F045B"/>
    <w:rsid w:val="00207EE6"/>
    <w:rsid w:val="002D4569"/>
    <w:rsid w:val="002E3611"/>
    <w:rsid w:val="0032752D"/>
    <w:rsid w:val="00351DF6"/>
    <w:rsid w:val="00370529"/>
    <w:rsid w:val="00395D68"/>
    <w:rsid w:val="003A4769"/>
    <w:rsid w:val="003C25A1"/>
    <w:rsid w:val="003C44EB"/>
    <w:rsid w:val="003F23D2"/>
    <w:rsid w:val="00422E65"/>
    <w:rsid w:val="0044047B"/>
    <w:rsid w:val="00460028"/>
    <w:rsid w:val="004668B4"/>
    <w:rsid w:val="004C2F5C"/>
    <w:rsid w:val="004F57EF"/>
    <w:rsid w:val="004F72F9"/>
    <w:rsid w:val="005207B2"/>
    <w:rsid w:val="00582569"/>
    <w:rsid w:val="005A79A1"/>
    <w:rsid w:val="006052C5"/>
    <w:rsid w:val="00612061"/>
    <w:rsid w:val="00675FFD"/>
    <w:rsid w:val="00681BC4"/>
    <w:rsid w:val="00691B22"/>
    <w:rsid w:val="006D1C64"/>
    <w:rsid w:val="0072093C"/>
    <w:rsid w:val="00721DBE"/>
    <w:rsid w:val="007578C8"/>
    <w:rsid w:val="00767FC6"/>
    <w:rsid w:val="00796BF5"/>
    <w:rsid w:val="007A25FA"/>
    <w:rsid w:val="007D251F"/>
    <w:rsid w:val="007E43BC"/>
    <w:rsid w:val="007F7761"/>
    <w:rsid w:val="00800D78"/>
    <w:rsid w:val="008136BC"/>
    <w:rsid w:val="00821CE7"/>
    <w:rsid w:val="00857962"/>
    <w:rsid w:val="008931CC"/>
    <w:rsid w:val="0089774B"/>
    <w:rsid w:val="00921872"/>
    <w:rsid w:val="009306B1"/>
    <w:rsid w:val="009504E2"/>
    <w:rsid w:val="00956293"/>
    <w:rsid w:val="00985597"/>
    <w:rsid w:val="009928CF"/>
    <w:rsid w:val="009B30D7"/>
    <w:rsid w:val="009C22FA"/>
    <w:rsid w:val="009C3998"/>
    <w:rsid w:val="009D7A94"/>
    <w:rsid w:val="009E1230"/>
    <w:rsid w:val="00A13CBA"/>
    <w:rsid w:val="00A27A7A"/>
    <w:rsid w:val="00A6234F"/>
    <w:rsid w:val="00A750CA"/>
    <w:rsid w:val="00AA2A80"/>
    <w:rsid w:val="00AB2FA0"/>
    <w:rsid w:val="00AB5265"/>
    <w:rsid w:val="00AB5CAB"/>
    <w:rsid w:val="00AC2C6D"/>
    <w:rsid w:val="00AC4EAC"/>
    <w:rsid w:val="00AD002E"/>
    <w:rsid w:val="00AE3102"/>
    <w:rsid w:val="00AE5700"/>
    <w:rsid w:val="00AF25F3"/>
    <w:rsid w:val="00AF615B"/>
    <w:rsid w:val="00B04E05"/>
    <w:rsid w:val="00B36C94"/>
    <w:rsid w:val="00B43C65"/>
    <w:rsid w:val="00B60AC2"/>
    <w:rsid w:val="00B67FA6"/>
    <w:rsid w:val="00B70C4C"/>
    <w:rsid w:val="00B91264"/>
    <w:rsid w:val="00C23159"/>
    <w:rsid w:val="00C528B9"/>
    <w:rsid w:val="00C531DA"/>
    <w:rsid w:val="00C8750E"/>
    <w:rsid w:val="00C97FD2"/>
    <w:rsid w:val="00CB4864"/>
    <w:rsid w:val="00CD7575"/>
    <w:rsid w:val="00D05833"/>
    <w:rsid w:val="00D128D4"/>
    <w:rsid w:val="00D30727"/>
    <w:rsid w:val="00D52150"/>
    <w:rsid w:val="00D847AD"/>
    <w:rsid w:val="00DB585F"/>
    <w:rsid w:val="00DF19D5"/>
    <w:rsid w:val="00DF6EB4"/>
    <w:rsid w:val="00E0483F"/>
    <w:rsid w:val="00E1534B"/>
    <w:rsid w:val="00E22226"/>
    <w:rsid w:val="00E50B08"/>
    <w:rsid w:val="00E711D8"/>
    <w:rsid w:val="00EE340C"/>
    <w:rsid w:val="00EE3BAA"/>
    <w:rsid w:val="00F176ED"/>
    <w:rsid w:val="00F53DB6"/>
    <w:rsid w:val="00FC3BBD"/>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PersonName"/>
  <w:smartTagType w:namespaceuri="urn:schemas-microsoft-com:office:smarttags" w:name="metricconverter"/>
  <w:shapeDefaults>
    <o:shapedefaults v:ext="edit" spidmax="31746">
      <o:colormenu v:ext="edit" strokecolor="none"/>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6EB4"/>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qFormat/>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qFormat/>
    <w:rsid w:val="00DF6EB4"/>
    <w:pPr>
      <w:numPr>
        <w:ilvl w:val="4"/>
        <w:numId w:val="9"/>
      </w:numPr>
      <w:spacing w:before="240" w:after="60"/>
      <w:outlineLvl w:val="4"/>
    </w:pPr>
    <w:rPr>
      <w:szCs w:val="20"/>
      <w:lang w:val="de-DE" w:eastAsia="de-DE"/>
    </w:rPr>
  </w:style>
  <w:style w:type="paragraph" w:styleId="Heading6">
    <w:name w:val="heading 6"/>
    <w:basedOn w:val="Normal"/>
    <w:next w:val="Normal"/>
    <w:qFormat/>
    <w:rsid w:val="00DF6EB4"/>
    <w:pPr>
      <w:numPr>
        <w:ilvl w:val="5"/>
        <w:numId w:val="9"/>
      </w:numPr>
      <w:spacing w:before="240" w:after="60"/>
      <w:outlineLvl w:val="5"/>
    </w:pPr>
    <w:rPr>
      <w:i/>
      <w:szCs w:val="20"/>
      <w:lang w:val="de-DE" w:eastAsia="de-DE"/>
    </w:rPr>
  </w:style>
  <w:style w:type="paragraph" w:styleId="Heading7">
    <w:name w:val="heading 7"/>
    <w:basedOn w:val="Normal"/>
    <w:next w:val="Normal"/>
    <w:qFormat/>
    <w:rsid w:val="00DF6EB4"/>
    <w:pPr>
      <w:numPr>
        <w:ilvl w:val="6"/>
        <w:numId w:val="9"/>
      </w:numPr>
      <w:spacing w:before="240" w:after="60"/>
      <w:outlineLvl w:val="6"/>
    </w:pPr>
    <w:rPr>
      <w:szCs w:val="20"/>
      <w:lang w:val="de-DE" w:eastAsia="de-DE"/>
    </w:rPr>
  </w:style>
  <w:style w:type="paragraph" w:styleId="Heading8">
    <w:name w:val="heading 8"/>
    <w:basedOn w:val="Normal"/>
    <w:next w:val="Normal"/>
    <w:qFormat/>
    <w:rsid w:val="00DF6EB4"/>
    <w:pPr>
      <w:numPr>
        <w:ilvl w:val="7"/>
        <w:numId w:val="9"/>
      </w:numPr>
      <w:spacing w:before="240" w:after="60"/>
      <w:outlineLvl w:val="7"/>
    </w:pPr>
    <w:rPr>
      <w:i/>
      <w:szCs w:val="20"/>
      <w:lang w:val="de-DE" w:eastAsia="de-DE"/>
    </w:rPr>
  </w:style>
  <w:style w:type="paragraph" w:styleId="Heading9">
    <w:name w:val="heading 9"/>
    <w:basedOn w:val="Normal"/>
    <w:next w:val="Normal"/>
    <w:qFormat/>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basedOn w:val="DefaultParagraphFont"/>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basedOn w:val="DefaultParagraphFont"/>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basedOn w:val="DefaultParagraphFont"/>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DF6EB4"/>
    <w:pPr>
      <w:suppressAutoHyphens/>
      <w:spacing w:after="120"/>
      <w:ind w:left="1134"/>
      <w:jc w:val="both"/>
    </w:pPr>
    <w:rPr>
      <w:szCs w:val="20"/>
      <w:lang w:eastAsia="en-GB"/>
    </w:rPr>
  </w:style>
  <w:style w:type="paragraph" w:customStyle="1" w:styleId="Bullet2">
    <w:name w:val="Bullet 2"/>
    <w:basedOn w:val="Normal"/>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DF6EB4"/>
    <w:pPr>
      <w:numPr>
        <w:ilvl w:val="1"/>
        <w:numId w:val="10"/>
      </w:numPr>
      <w:spacing w:after="120"/>
      <w:jc w:val="both"/>
    </w:pPr>
    <w:rPr>
      <w:szCs w:val="20"/>
      <w:lang w:eastAsia="en-GB"/>
    </w:rPr>
  </w:style>
  <w:style w:type="paragraph" w:customStyle="1" w:styleId="List1indent2">
    <w:name w:val="List 1 indent 2"/>
    <w:basedOn w:val="Normal"/>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basedOn w:val="FootnoteReference"/>
    <w:rsid w:val="00DF6EB4"/>
    <w:rPr>
      <w:rFonts w:ascii="Arial" w:hAnsi="Arial"/>
      <w:color w:val="000000"/>
      <w:sz w:val="23"/>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basedOn w:val="DefaultParagraphFont"/>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basedOn w:val="DefaultParagraphFont"/>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basedOn w:val="DefaultParagraphFont"/>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4668B4"/>
    <w:rPr>
      <w:rFonts w:ascii="Tahoma" w:hAnsi="Tahoma"/>
      <w:szCs w:val="24"/>
      <w:shd w:val="clear" w:color="auto" w:fill="000080"/>
      <w:lang w:val="de-DE" w:eastAsia="de-DE"/>
    </w:rPr>
  </w:style>
  <w:style w:type="character" w:styleId="FollowedHyperlink">
    <w:name w:val="FollowedHyperlink"/>
    <w:basedOn w:val="DefaultParagraphFont"/>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basedOn w:val="CommentTextChar"/>
    <w:link w:val="CommentSubject"/>
    <w:rsid w:val="007578C8"/>
    <w:rPr>
      <w:b/>
      <w:bCs/>
      <w:lang w:eastAsia="en-US"/>
    </w:rPr>
  </w:style>
  <w:style w:type="character" w:styleId="Emphasis">
    <w:name w:val="Emphasis"/>
    <w:basedOn w:val="DefaultParagraphFont"/>
    <w:rsid w:val="00DF6EB4"/>
    <w:rPr>
      <w:i/>
      <w:iCs/>
    </w:rPr>
  </w:style>
  <w:style w:type="character" w:styleId="HTMLCite">
    <w:name w:val="HTML Cite"/>
    <w:basedOn w:val="DefaultParagraphFont"/>
    <w:rsid w:val="00DF6EB4"/>
    <w:rPr>
      <w:i/>
      <w:iCs/>
    </w:rPr>
  </w:style>
  <w:style w:type="paragraph" w:customStyle="1" w:styleId="References">
    <w:name w:val="References"/>
    <w:basedOn w:val="Normal"/>
    <w:qFormat/>
    <w:rsid w:val="007F7761"/>
    <w:pPr>
      <w:numPr>
        <w:numId w:val="14"/>
      </w:numPr>
      <w:tabs>
        <w:tab w:val="left" w:pos="567"/>
      </w:tabs>
      <w:spacing w:after="120"/>
      <w:ind w:left="567" w:hanging="567"/>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basedOn w:val="DefaultParagraphFont"/>
    <w:link w:val="BodyText"/>
    <w:rsid w:val="00DF6EB4"/>
    <w:rPr>
      <w:rFonts w:ascii="Arial" w:hAnsi="Arial"/>
      <w:sz w:val="22"/>
      <w:szCs w:val="24"/>
      <w:lang w:eastAsia="en-US"/>
    </w:rPr>
  </w:style>
  <w:style w:type="character" w:customStyle="1" w:styleId="BodyTextIndent2Char">
    <w:name w:val="Body Text Indent 2 Char"/>
    <w:basedOn w:val="DefaultParagraphFont"/>
    <w:link w:val="BodyTextIndent2"/>
    <w:rsid w:val="003C44EB"/>
    <w:rPr>
      <w:rFonts w:ascii="Arial" w:hAnsi="Arial"/>
      <w:sz w:val="22"/>
      <w:szCs w:val="24"/>
      <w:lang w:eastAsia="de-DE"/>
    </w:rPr>
  </w:style>
  <w:style w:type="table" w:styleId="TableGrid">
    <w:name w:val="Table Grid"/>
    <w:basedOn w:val="TableNormal"/>
    <w:rsid w:val="00186A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iala-aism.org" TargetMode="External"/><Relationship Id="rId4" Type="http://schemas.openxmlformats.org/officeDocument/2006/relationships/settings" Target="settings.xml"/><Relationship Id="rId9" Type="http://schemas.openxmlformats.org/officeDocument/2006/relationships/hyperlink" Target="mailto:iala-aism@wanadoo.fr"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Documents\A_Work\IALA\Guidelines%20&amp;%20Recommendations\Recommendations\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F4AB4-A667-4867-9EE2-F1020E2AD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Template_16Dec08.dotx</Template>
  <TotalTime>43</TotalTime>
  <Pages>15</Pages>
  <Words>3860</Words>
  <Characters>22003</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
  <LinksUpToDate>false</LinksUpToDate>
  <CharactersWithSpaces>25812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Mike Hadley</cp:lastModifiedBy>
  <cp:revision>4</cp:revision>
  <cp:lastPrinted>2008-12-16T08:04:00Z</cp:lastPrinted>
  <dcterms:created xsi:type="dcterms:W3CDTF">2009-09-10T11:21:00Z</dcterms:created>
  <dcterms:modified xsi:type="dcterms:W3CDTF">2009-09-10T14:03:00Z</dcterms:modified>
</cp:coreProperties>
</file>